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FD6E4" w14:textId="77777777" w:rsidR="005E64FE" w:rsidRPr="00F12975" w:rsidRDefault="005E64FE" w:rsidP="005E64FE">
      <w:pPr>
        <w:spacing w:line="360" w:lineRule="auto"/>
        <w:jc w:val="center"/>
        <w:rPr>
          <w:rFonts w:cstheme="minorHAnsi"/>
          <w:b/>
          <w:bCs/>
          <w:color w:val="000000" w:themeColor="text1"/>
          <w:sz w:val="28"/>
          <w:szCs w:val="28"/>
          <w:u w:val="single"/>
        </w:rPr>
      </w:pPr>
      <w:r w:rsidRPr="00F12975">
        <w:rPr>
          <w:rFonts w:cstheme="minorHAnsi"/>
          <w:b/>
          <w:bCs/>
          <w:color w:val="000000" w:themeColor="text1"/>
          <w:sz w:val="28"/>
          <w:szCs w:val="28"/>
          <w:u w:val="single"/>
        </w:rPr>
        <w:t>REPUBLIC OF KENYA</w:t>
      </w:r>
    </w:p>
    <w:p w14:paraId="36A39257" w14:textId="77777777" w:rsidR="005E64FE" w:rsidRPr="00F12975" w:rsidRDefault="005E64FE" w:rsidP="005E64FE">
      <w:pPr>
        <w:spacing w:line="360" w:lineRule="auto"/>
        <w:jc w:val="center"/>
        <w:rPr>
          <w:rFonts w:cstheme="minorHAnsi"/>
          <w:b/>
          <w:bCs/>
          <w:color w:val="000000" w:themeColor="text1"/>
          <w:sz w:val="28"/>
          <w:szCs w:val="28"/>
          <w:u w:val="single"/>
        </w:rPr>
      </w:pPr>
      <w:r w:rsidRPr="00F12975">
        <w:rPr>
          <w:rFonts w:cstheme="minorHAnsi"/>
          <w:b/>
          <w:bCs/>
          <w:color w:val="000000" w:themeColor="text1"/>
          <w:sz w:val="28"/>
          <w:szCs w:val="28"/>
          <w:u w:val="single"/>
        </w:rPr>
        <w:t>IN THE HIGH COURT OF KENYA AT NAIROBI</w:t>
      </w:r>
    </w:p>
    <w:p w14:paraId="3C31DF35" w14:textId="77777777" w:rsidR="005E64FE" w:rsidRPr="00F12975" w:rsidRDefault="005E64FE" w:rsidP="005E64FE">
      <w:pPr>
        <w:spacing w:line="360" w:lineRule="auto"/>
        <w:jc w:val="center"/>
        <w:rPr>
          <w:rFonts w:cstheme="minorHAnsi"/>
          <w:b/>
          <w:bCs/>
          <w:color w:val="000000" w:themeColor="text1"/>
          <w:sz w:val="28"/>
          <w:szCs w:val="28"/>
          <w:u w:val="single"/>
        </w:rPr>
      </w:pPr>
      <w:r w:rsidRPr="00F12975">
        <w:rPr>
          <w:rFonts w:cstheme="minorHAnsi"/>
          <w:b/>
          <w:bCs/>
          <w:color w:val="000000" w:themeColor="text1"/>
          <w:sz w:val="28"/>
          <w:szCs w:val="28"/>
          <w:u w:val="single"/>
        </w:rPr>
        <w:t>CONSTITUTIONAL AND HUMAN RIGHTS DIVISION</w:t>
      </w:r>
    </w:p>
    <w:p w14:paraId="604CD8A8" w14:textId="77777777" w:rsidR="005E64FE" w:rsidRPr="00F12975" w:rsidRDefault="005E64FE" w:rsidP="005E64FE">
      <w:pPr>
        <w:spacing w:line="360" w:lineRule="auto"/>
        <w:jc w:val="center"/>
        <w:rPr>
          <w:rFonts w:cstheme="minorHAnsi"/>
          <w:b/>
          <w:bCs/>
          <w:color w:val="000000" w:themeColor="text1"/>
          <w:sz w:val="28"/>
          <w:szCs w:val="28"/>
          <w:u w:val="single"/>
        </w:rPr>
      </w:pPr>
      <w:r w:rsidRPr="00F12975">
        <w:rPr>
          <w:rFonts w:cstheme="minorHAnsi"/>
          <w:b/>
          <w:bCs/>
          <w:color w:val="000000" w:themeColor="text1"/>
          <w:sz w:val="28"/>
          <w:szCs w:val="28"/>
          <w:u w:val="single"/>
        </w:rPr>
        <w:t>PETITION NO. E283 OF 2025</w:t>
      </w:r>
    </w:p>
    <w:p w14:paraId="7F208E27" w14:textId="77777777" w:rsidR="005E64FE" w:rsidRPr="00F12975" w:rsidRDefault="005E64FE" w:rsidP="005E64FE">
      <w:pPr>
        <w:spacing w:line="360" w:lineRule="auto"/>
        <w:jc w:val="both"/>
        <w:rPr>
          <w:rFonts w:cstheme="minorHAnsi"/>
          <w:b/>
          <w:bCs/>
          <w:color w:val="000000" w:themeColor="text1"/>
          <w:sz w:val="28"/>
          <w:szCs w:val="28"/>
        </w:rPr>
      </w:pPr>
      <w:r w:rsidRPr="00F12975">
        <w:rPr>
          <w:rFonts w:cstheme="minorHAnsi"/>
          <w:b/>
          <w:bCs/>
          <w:color w:val="000000" w:themeColor="text1"/>
          <w:sz w:val="28"/>
          <w:szCs w:val="28"/>
        </w:rPr>
        <w:t>IN THE MATTER OF ARTICLE 22(1) OF THE CONSTITUTION OF KENYA</w:t>
      </w:r>
      <w:proofErr w:type="gramStart"/>
      <w:r w:rsidRPr="00F12975">
        <w:rPr>
          <w:rFonts w:cstheme="minorHAnsi"/>
          <w:b/>
          <w:bCs/>
          <w:color w:val="000000" w:themeColor="text1"/>
          <w:sz w:val="28"/>
          <w:szCs w:val="28"/>
        </w:rPr>
        <w:t>,2010</w:t>
      </w:r>
      <w:proofErr w:type="gramEnd"/>
    </w:p>
    <w:p w14:paraId="1EFA684E" w14:textId="77777777" w:rsidR="005E64FE" w:rsidRPr="00F12975" w:rsidRDefault="005E64FE" w:rsidP="005E64FE">
      <w:pPr>
        <w:spacing w:line="360" w:lineRule="auto"/>
        <w:jc w:val="center"/>
        <w:rPr>
          <w:rFonts w:cstheme="minorHAnsi"/>
          <w:b/>
          <w:bCs/>
          <w:color w:val="000000" w:themeColor="text1"/>
          <w:sz w:val="28"/>
          <w:szCs w:val="28"/>
        </w:rPr>
      </w:pPr>
      <w:r w:rsidRPr="00F12975">
        <w:rPr>
          <w:rFonts w:cstheme="minorHAnsi"/>
          <w:b/>
          <w:bCs/>
          <w:color w:val="000000" w:themeColor="text1"/>
          <w:sz w:val="28"/>
          <w:szCs w:val="28"/>
        </w:rPr>
        <w:t>AND</w:t>
      </w:r>
    </w:p>
    <w:p w14:paraId="07802ED0" w14:textId="77777777" w:rsidR="005E64FE" w:rsidRPr="00F12975" w:rsidRDefault="005E64FE" w:rsidP="005E64FE">
      <w:pPr>
        <w:spacing w:line="360" w:lineRule="auto"/>
        <w:jc w:val="both"/>
        <w:rPr>
          <w:rFonts w:cstheme="minorHAnsi"/>
          <w:b/>
          <w:bCs/>
          <w:color w:val="000000" w:themeColor="text1"/>
          <w:sz w:val="28"/>
          <w:szCs w:val="28"/>
        </w:rPr>
      </w:pPr>
      <w:r w:rsidRPr="00F12975">
        <w:rPr>
          <w:rFonts w:cstheme="minorHAnsi"/>
          <w:b/>
          <w:bCs/>
          <w:color w:val="000000" w:themeColor="text1"/>
          <w:sz w:val="28"/>
          <w:szCs w:val="28"/>
        </w:rPr>
        <w:t>IN THE MATTER OF ALLEGED CONTRAVENTION OF RIGHTS AND FUNDAMENTAL</w:t>
      </w:r>
    </w:p>
    <w:p w14:paraId="5B90970F" w14:textId="67DE4FF4" w:rsidR="005E64FE" w:rsidRPr="00F12975" w:rsidRDefault="005E64FE" w:rsidP="005E64FE">
      <w:pPr>
        <w:spacing w:line="360" w:lineRule="auto"/>
        <w:jc w:val="both"/>
        <w:rPr>
          <w:rFonts w:cstheme="minorHAnsi"/>
          <w:b/>
          <w:bCs/>
          <w:color w:val="000000" w:themeColor="text1"/>
          <w:sz w:val="28"/>
          <w:szCs w:val="28"/>
        </w:rPr>
      </w:pPr>
      <w:r w:rsidRPr="00F12975">
        <w:rPr>
          <w:rFonts w:cstheme="minorHAnsi"/>
          <w:b/>
          <w:bCs/>
          <w:color w:val="000000" w:themeColor="text1"/>
          <w:sz w:val="28"/>
          <w:szCs w:val="28"/>
        </w:rPr>
        <w:t>FREEDOMS UNDER ARTICLES 2, 10, 25(a) &amp; (c</w:t>
      </w:r>
      <w:proofErr w:type="gramStart"/>
      <w:r w:rsidRPr="00F12975">
        <w:rPr>
          <w:rFonts w:cstheme="minorHAnsi"/>
          <w:b/>
          <w:bCs/>
          <w:color w:val="000000" w:themeColor="text1"/>
          <w:sz w:val="28"/>
          <w:szCs w:val="28"/>
        </w:rPr>
        <w:t>) ,</w:t>
      </w:r>
      <w:proofErr w:type="gramEnd"/>
      <w:r w:rsidRPr="00F12975">
        <w:rPr>
          <w:rFonts w:cstheme="minorHAnsi"/>
          <w:b/>
          <w:bCs/>
          <w:color w:val="000000" w:themeColor="text1"/>
          <w:sz w:val="28"/>
          <w:szCs w:val="28"/>
        </w:rPr>
        <w:t xml:space="preserve">50(1) </w:t>
      </w:r>
      <w:r w:rsidR="00A1424C" w:rsidRPr="00F12975">
        <w:rPr>
          <w:rFonts w:cstheme="minorHAnsi"/>
          <w:b/>
          <w:bCs/>
          <w:color w:val="000000" w:themeColor="text1"/>
          <w:sz w:val="28"/>
          <w:szCs w:val="28"/>
        </w:rPr>
        <w:t>AND</w:t>
      </w:r>
      <w:r w:rsidRPr="00F12975">
        <w:rPr>
          <w:rFonts w:cstheme="minorHAnsi"/>
          <w:b/>
          <w:bCs/>
          <w:color w:val="000000" w:themeColor="text1"/>
          <w:sz w:val="28"/>
          <w:szCs w:val="28"/>
        </w:rPr>
        <w:t xml:space="preserve"> 51(3) OF THE CONSTITUTION, 2010</w:t>
      </w:r>
    </w:p>
    <w:p w14:paraId="55000ED0" w14:textId="77777777" w:rsidR="005E64FE" w:rsidRPr="00F12975" w:rsidRDefault="005E64FE" w:rsidP="005E64FE">
      <w:pPr>
        <w:spacing w:line="360" w:lineRule="auto"/>
        <w:jc w:val="center"/>
        <w:rPr>
          <w:rFonts w:cstheme="minorHAnsi"/>
          <w:b/>
          <w:bCs/>
          <w:color w:val="000000" w:themeColor="text1"/>
          <w:sz w:val="28"/>
          <w:szCs w:val="28"/>
        </w:rPr>
      </w:pPr>
      <w:r w:rsidRPr="00F12975">
        <w:rPr>
          <w:rFonts w:cstheme="minorHAnsi"/>
          <w:b/>
          <w:bCs/>
          <w:color w:val="000000" w:themeColor="text1"/>
          <w:sz w:val="28"/>
          <w:szCs w:val="28"/>
        </w:rPr>
        <w:t>AND</w:t>
      </w:r>
    </w:p>
    <w:p w14:paraId="7E451EC5" w14:textId="77777777" w:rsidR="005E64FE" w:rsidRPr="00F12975" w:rsidRDefault="005E64FE" w:rsidP="005E64FE">
      <w:pPr>
        <w:spacing w:line="360" w:lineRule="auto"/>
        <w:jc w:val="both"/>
        <w:rPr>
          <w:rFonts w:cstheme="minorHAnsi"/>
          <w:b/>
          <w:bCs/>
          <w:color w:val="000000" w:themeColor="text1"/>
          <w:sz w:val="28"/>
          <w:szCs w:val="28"/>
        </w:rPr>
      </w:pPr>
      <w:r w:rsidRPr="00F12975">
        <w:rPr>
          <w:rFonts w:cstheme="minorHAnsi"/>
          <w:b/>
          <w:bCs/>
          <w:color w:val="000000" w:themeColor="text1"/>
          <w:sz w:val="28"/>
          <w:szCs w:val="28"/>
        </w:rPr>
        <w:t>IN THE MATTER OF ARTICLES 19, 20, 21, 24, 27, 258, AND 259 OF THE CONSTITUTION OF KENYA</w:t>
      </w:r>
      <w:proofErr w:type="gramStart"/>
      <w:r w:rsidRPr="00F12975">
        <w:rPr>
          <w:rFonts w:cstheme="minorHAnsi"/>
          <w:b/>
          <w:bCs/>
          <w:color w:val="000000" w:themeColor="text1"/>
          <w:sz w:val="28"/>
          <w:szCs w:val="28"/>
        </w:rPr>
        <w:t>,2010</w:t>
      </w:r>
      <w:proofErr w:type="gramEnd"/>
    </w:p>
    <w:p w14:paraId="3CBA6A45" w14:textId="77777777" w:rsidR="005E64FE" w:rsidRPr="00F12975" w:rsidRDefault="005E64FE" w:rsidP="005E64FE">
      <w:pPr>
        <w:spacing w:line="360" w:lineRule="auto"/>
        <w:jc w:val="center"/>
        <w:rPr>
          <w:rFonts w:cstheme="minorHAnsi"/>
          <w:b/>
          <w:bCs/>
          <w:color w:val="000000" w:themeColor="text1"/>
          <w:sz w:val="28"/>
          <w:szCs w:val="28"/>
        </w:rPr>
      </w:pPr>
      <w:r w:rsidRPr="00F12975">
        <w:rPr>
          <w:rFonts w:cstheme="minorHAnsi"/>
          <w:b/>
          <w:bCs/>
          <w:color w:val="000000" w:themeColor="text1"/>
          <w:sz w:val="28"/>
          <w:szCs w:val="28"/>
        </w:rPr>
        <w:t>AND</w:t>
      </w:r>
    </w:p>
    <w:p w14:paraId="568BB8E6" w14:textId="77777777" w:rsidR="005E64FE" w:rsidRPr="00F12975" w:rsidRDefault="005E64FE" w:rsidP="005E64FE">
      <w:pPr>
        <w:spacing w:line="360" w:lineRule="auto"/>
        <w:jc w:val="both"/>
        <w:rPr>
          <w:rFonts w:cstheme="minorHAnsi"/>
          <w:b/>
          <w:bCs/>
          <w:color w:val="000000" w:themeColor="text1"/>
          <w:sz w:val="28"/>
          <w:szCs w:val="28"/>
        </w:rPr>
      </w:pPr>
      <w:r w:rsidRPr="00F12975">
        <w:rPr>
          <w:rFonts w:cstheme="minorHAnsi"/>
          <w:b/>
          <w:bCs/>
          <w:color w:val="000000" w:themeColor="text1"/>
          <w:sz w:val="28"/>
          <w:szCs w:val="28"/>
        </w:rPr>
        <w:t>IN THE MATTER OF ARTICLES 23 AND 165 OF THE CONSTITUTION OF KENYA, 2010</w:t>
      </w:r>
    </w:p>
    <w:p w14:paraId="156D07C5" w14:textId="77777777" w:rsidR="005A53F7" w:rsidRDefault="005A53F7" w:rsidP="005E64FE">
      <w:pPr>
        <w:spacing w:line="360" w:lineRule="auto"/>
        <w:jc w:val="center"/>
        <w:rPr>
          <w:rFonts w:cstheme="minorHAnsi"/>
          <w:b/>
          <w:bCs/>
          <w:color w:val="000000" w:themeColor="text1"/>
          <w:sz w:val="28"/>
          <w:szCs w:val="28"/>
        </w:rPr>
      </w:pPr>
    </w:p>
    <w:p w14:paraId="4941359B" w14:textId="1BE403A8" w:rsidR="005E64FE" w:rsidRPr="00F12975" w:rsidRDefault="005E64FE" w:rsidP="005E64FE">
      <w:pPr>
        <w:spacing w:line="360" w:lineRule="auto"/>
        <w:jc w:val="center"/>
        <w:rPr>
          <w:rFonts w:cstheme="minorHAnsi"/>
          <w:b/>
          <w:bCs/>
          <w:color w:val="000000" w:themeColor="text1"/>
          <w:sz w:val="28"/>
          <w:szCs w:val="28"/>
        </w:rPr>
      </w:pPr>
      <w:r w:rsidRPr="00F12975">
        <w:rPr>
          <w:rFonts w:cstheme="minorHAnsi"/>
          <w:b/>
          <w:bCs/>
          <w:color w:val="000000" w:themeColor="text1"/>
          <w:sz w:val="28"/>
          <w:szCs w:val="28"/>
        </w:rPr>
        <w:t>BETWEEN</w:t>
      </w:r>
    </w:p>
    <w:p w14:paraId="65B26448" w14:textId="77777777" w:rsidR="005E64FE" w:rsidRPr="00F12975" w:rsidRDefault="005E64FE" w:rsidP="005E64FE">
      <w:pPr>
        <w:spacing w:line="360" w:lineRule="auto"/>
        <w:jc w:val="both"/>
        <w:rPr>
          <w:rFonts w:cstheme="minorHAnsi"/>
          <w:b/>
          <w:bCs/>
          <w:color w:val="000000" w:themeColor="text1"/>
          <w:sz w:val="28"/>
          <w:szCs w:val="28"/>
        </w:rPr>
      </w:pPr>
      <w:r w:rsidRPr="00F12975">
        <w:rPr>
          <w:rFonts w:cstheme="minorHAnsi"/>
          <w:b/>
          <w:bCs/>
          <w:color w:val="000000" w:themeColor="text1"/>
          <w:sz w:val="28"/>
          <w:szCs w:val="28"/>
        </w:rPr>
        <w:t>AGGREY MANG’ONG’O AMUGUNE…………………………………………………..PETITIONER</w:t>
      </w:r>
    </w:p>
    <w:p w14:paraId="07BE0A5B" w14:textId="77777777" w:rsidR="005E64FE" w:rsidRPr="00F12975" w:rsidRDefault="005E64FE" w:rsidP="005E64FE">
      <w:pPr>
        <w:spacing w:line="360" w:lineRule="auto"/>
        <w:jc w:val="center"/>
        <w:rPr>
          <w:rFonts w:cstheme="minorHAnsi"/>
          <w:b/>
          <w:bCs/>
          <w:color w:val="000000" w:themeColor="text1"/>
          <w:sz w:val="28"/>
          <w:szCs w:val="28"/>
        </w:rPr>
      </w:pPr>
      <w:r w:rsidRPr="00F12975">
        <w:rPr>
          <w:rFonts w:cstheme="minorHAnsi"/>
          <w:b/>
          <w:bCs/>
          <w:color w:val="000000" w:themeColor="text1"/>
          <w:sz w:val="28"/>
          <w:szCs w:val="28"/>
        </w:rPr>
        <w:t>AND</w:t>
      </w:r>
    </w:p>
    <w:p w14:paraId="20A003A0" w14:textId="77777777" w:rsidR="005E64FE" w:rsidRPr="00F12975" w:rsidRDefault="005E64FE" w:rsidP="005E64FE">
      <w:pPr>
        <w:spacing w:line="360" w:lineRule="auto"/>
        <w:jc w:val="both"/>
        <w:rPr>
          <w:rFonts w:cstheme="minorHAnsi"/>
          <w:b/>
          <w:bCs/>
          <w:color w:val="000000" w:themeColor="text1"/>
          <w:sz w:val="28"/>
          <w:szCs w:val="28"/>
        </w:rPr>
      </w:pPr>
      <w:r w:rsidRPr="00F12975">
        <w:rPr>
          <w:rFonts w:cstheme="minorHAnsi"/>
          <w:b/>
          <w:bCs/>
          <w:color w:val="000000" w:themeColor="text1"/>
          <w:sz w:val="28"/>
          <w:szCs w:val="28"/>
        </w:rPr>
        <w:t>THE HON. ATTORNEY GENERAL…………………………….……………………1</w:t>
      </w:r>
      <w:r w:rsidRPr="00F12975">
        <w:rPr>
          <w:rFonts w:cstheme="minorHAnsi"/>
          <w:b/>
          <w:bCs/>
          <w:color w:val="000000" w:themeColor="text1"/>
          <w:sz w:val="28"/>
          <w:szCs w:val="28"/>
          <w:vertAlign w:val="superscript"/>
        </w:rPr>
        <w:t>ST</w:t>
      </w:r>
      <w:r w:rsidRPr="00F12975">
        <w:rPr>
          <w:rFonts w:cstheme="minorHAnsi"/>
          <w:b/>
          <w:bCs/>
          <w:color w:val="000000" w:themeColor="text1"/>
          <w:sz w:val="28"/>
          <w:szCs w:val="28"/>
        </w:rPr>
        <w:t xml:space="preserve"> RESPONDENT</w:t>
      </w:r>
    </w:p>
    <w:p w14:paraId="0C9AE8F3" w14:textId="75C3EADA" w:rsidR="00075CFA" w:rsidRDefault="005E64FE" w:rsidP="005E64FE">
      <w:pPr>
        <w:spacing w:line="360" w:lineRule="auto"/>
        <w:jc w:val="both"/>
        <w:rPr>
          <w:rFonts w:cstheme="minorHAnsi"/>
          <w:b/>
          <w:bCs/>
          <w:color w:val="000000" w:themeColor="text1"/>
          <w:sz w:val="28"/>
          <w:szCs w:val="28"/>
        </w:rPr>
      </w:pPr>
      <w:r w:rsidRPr="00F12975">
        <w:rPr>
          <w:rFonts w:cstheme="minorHAnsi"/>
          <w:b/>
          <w:bCs/>
          <w:color w:val="000000" w:themeColor="text1"/>
          <w:sz w:val="28"/>
          <w:szCs w:val="28"/>
        </w:rPr>
        <w:t>THE DIRECTOR OF PUBLIC PROSECUTIONS………………….…………….2</w:t>
      </w:r>
      <w:r w:rsidRPr="00F12975">
        <w:rPr>
          <w:rFonts w:cstheme="minorHAnsi"/>
          <w:b/>
          <w:bCs/>
          <w:color w:val="000000" w:themeColor="text1"/>
          <w:sz w:val="28"/>
          <w:szCs w:val="28"/>
          <w:vertAlign w:val="superscript"/>
        </w:rPr>
        <w:t>ND</w:t>
      </w:r>
      <w:r w:rsidRPr="00F12975">
        <w:rPr>
          <w:rFonts w:cstheme="minorHAnsi"/>
          <w:b/>
          <w:bCs/>
          <w:color w:val="000000" w:themeColor="text1"/>
          <w:sz w:val="28"/>
          <w:szCs w:val="28"/>
        </w:rPr>
        <w:t xml:space="preserve"> RESPONDENT</w:t>
      </w:r>
    </w:p>
    <w:p w14:paraId="20817C4A" w14:textId="38CAE32B" w:rsidR="005E64FE" w:rsidRPr="00F12975" w:rsidRDefault="00075CFA" w:rsidP="00732B42">
      <w:pPr>
        <w:spacing w:line="360" w:lineRule="auto"/>
        <w:jc w:val="both"/>
        <w:rPr>
          <w:rFonts w:cstheme="minorHAnsi"/>
          <w:b/>
          <w:bCs/>
          <w:color w:val="000000" w:themeColor="text1"/>
          <w:sz w:val="28"/>
          <w:szCs w:val="28"/>
        </w:rPr>
      </w:pPr>
      <w:r w:rsidRPr="004849EE">
        <w:rPr>
          <w:rFonts w:cstheme="minorHAnsi"/>
          <w:b/>
          <w:bCs/>
          <w:noProof/>
          <w:sz w:val="28"/>
          <w:szCs w:val="29"/>
          <w:lang w:val="en-US"/>
        </w:rPr>
        <mc:AlternateContent>
          <mc:Choice Requires="wps">
            <w:drawing>
              <wp:anchor distT="0" distB="0" distL="114300" distR="114300" simplePos="0" relativeHeight="251659264" behindDoc="0" locked="0" layoutInCell="1" allowOverlap="1" wp14:anchorId="4EF4F6A3" wp14:editId="26A6A68E">
                <wp:simplePos x="0" y="0"/>
                <wp:positionH relativeFrom="column">
                  <wp:posOffset>0</wp:posOffset>
                </wp:positionH>
                <wp:positionV relativeFrom="paragraph">
                  <wp:posOffset>-635</wp:posOffset>
                </wp:positionV>
                <wp:extent cx="5943600" cy="1270"/>
                <wp:effectExtent l="0" t="0" r="19050" b="36830"/>
                <wp:wrapNone/>
                <wp:docPr id="1" name="Straight Connector 1"/>
                <wp:cNvGraphicFramePr/>
                <a:graphic xmlns:a="http://schemas.openxmlformats.org/drawingml/2006/main">
                  <a:graphicData uri="http://schemas.microsoft.com/office/word/2010/wordprocessingShape">
                    <wps:wsp>
                      <wps:cNvCnPr/>
                      <wps:spPr>
                        <a:xfrm>
                          <a:off x="0" y="0"/>
                          <a:ext cx="5943600" cy="12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623C42A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" strokecolor="black [3200]" strokeweight="1.5pt">
                <v:stroke joinstyle="miter"/>
              </v:line>
            </w:pict>
          </mc:Fallback>
        </mc:AlternateContent>
      </w:r>
    </w:p>
    <w:p w14:paraId="2289D829" w14:textId="77777777" w:rsidR="005E64FE" w:rsidRPr="00F12975" w:rsidRDefault="005E64FE" w:rsidP="005E64FE">
      <w:pPr>
        <w:spacing w:line="360" w:lineRule="auto"/>
        <w:jc w:val="center"/>
        <w:rPr>
          <w:rFonts w:cstheme="minorHAnsi"/>
          <w:b/>
          <w:bCs/>
          <w:color w:val="000000" w:themeColor="text1"/>
          <w:sz w:val="28"/>
          <w:szCs w:val="28"/>
          <w:u w:val="single"/>
        </w:rPr>
      </w:pPr>
      <w:r w:rsidRPr="00F12975">
        <w:rPr>
          <w:rFonts w:cstheme="minorHAnsi"/>
          <w:b/>
          <w:bCs/>
          <w:color w:val="000000" w:themeColor="text1"/>
          <w:sz w:val="28"/>
          <w:szCs w:val="28"/>
          <w:u w:val="single"/>
        </w:rPr>
        <w:t>JUDGMENT</w:t>
      </w:r>
    </w:p>
    <w:p w14:paraId="1D3655FE" w14:textId="77777777" w:rsidR="005E64FE" w:rsidRPr="00F12975" w:rsidRDefault="005E64FE" w:rsidP="005E64FE">
      <w:pPr>
        <w:pStyle w:val="ListParagraph"/>
        <w:numPr>
          <w:ilvl w:val="0"/>
          <w:numId w:val="1"/>
        </w:numPr>
        <w:spacing w:before="240" w:line="360" w:lineRule="auto"/>
        <w:jc w:val="both"/>
        <w:rPr>
          <w:rFonts w:cstheme="minorHAnsi"/>
          <w:color w:val="000000" w:themeColor="text1"/>
          <w:spacing w:val="-2"/>
          <w:sz w:val="28"/>
          <w:szCs w:val="28"/>
          <w:shd w:val="clear" w:color="auto" w:fill="FFFFFF"/>
        </w:rPr>
      </w:pPr>
      <w:r w:rsidRPr="00F12975">
        <w:rPr>
          <w:rFonts w:cstheme="minorHAnsi"/>
          <w:color w:val="000000" w:themeColor="text1"/>
          <w:spacing w:val="-2"/>
          <w:sz w:val="28"/>
          <w:szCs w:val="28"/>
          <w:shd w:val="clear" w:color="auto" w:fill="FFFFFF"/>
        </w:rPr>
        <w:lastRenderedPageBreak/>
        <w:t>This Petition, dated 31</w:t>
      </w:r>
      <w:r w:rsidRPr="00F12975">
        <w:rPr>
          <w:rFonts w:cstheme="minorHAnsi"/>
          <w:color w:val="000000" w:themeColor="text1"/>
          <w:spacing w:val="-2"/>
          <w:sz w:val="28"/>
          <w:szCs w:val="28"/>
          <w:shd w:val="clear" w:color="auto" w:fill="FFFFFF"/>
          <w:vertAlign w:val="superscript"/>
        </w:rPr>
        <w:t>st</w:t>
      </w:r>
      <w:r w:rsidRPr="00F12975">
        <w:rPr>
          <w:rFonts w:cstheme="minorHAnsi"/>
          <w:color w:val="000000" w:themeColor="text1"/>
          <w:spacing w:val="-2"/>
          <w:sz w:val="28"/>
          <w:szCs w:val="28"/>
          <w:shd w:val="clear" w:color="auto" w:fill="FFFFFF"/>
        </w:rPr>
        <w:t xml:space="preserve"> March 2025, challenges the Petitioner’s sentence arising from Nairobi </w:t>
      </w:r>
      <w:r w:rsidRPr="00894704">
        <w:rPr>
          <w:rFonts w:cstheme="minorHAnsi"/>
          <w:color w:val="000000" w:themeColor="text1"/>
          <w:spacing w:val="-2"/>
          <w:sz w:val="28"/>
          <w:szCs w:val="28"/>
          <w:shd w:val="clear" w:color="auto" w:fill="FFFFFF"/>
        </w:rPr>
        <w:t>High Court Criminal Case</w:t>
      </w:r>
      <w:r w:rsidRPr="00F12975">
        <w:rPr>
          <w:rFonts w:cstheme="minorHAnsi"/>
          <w:color w:val="000000" w:themeColor="text1"/>
          <w:spacing w:val="-2"/>
          <w:sz w:val="28"/>
          <w:szCs w:val="28"/>
          <w:shd w:val="clear" w:color="auto" w:fill="FFFFFF"/>
        </w:rPr>
        <w:t xml:space="preserve"> No. 21 of 2013 and Court of Appeal Criminal Appeal No. 123 of 2019, and seeks declarations of violation of constitutional rights together with an order remitting the matter to the trial court for determination of an “appropriate remedy or sentence” including liberty in the interests of justice.</w:t>
      </w:r>
    </w:p>
    <w:p w14:paraId="488DB47C" w14:textId="77777777" w:rsidR="005E64FE" w:rsidRPr="00F12975" w:rsidRDefault="005E64FE" w:rsidP="005E64FE">
      <w:pPr>
        <w:pStyle w:val="ListParagraph"/>
        <w:spacing w:before="240" w:line="360" w:lineRule="auto"/>
        <w:ind w:left="360"/>
        <w:jc w:val="both"/>
        <w:rPr>
          <w:rFonts w:cstheme="minorHAnsi"/>
          <w:color w:val="000000" w:themeColor="text1"/>
          <w:spacing w:val="-2"/>
          <w:sz w:val="28"/>
          <w:szCs w:val="28"/>
          <w:shd w:val="clear" w:color="auto" w:fill="FFFFFF"/>
        </w:rPr>
      </w:pPr>
    </w:p>
    <w:p w14:paraId="33332140" w14:textId="77777777" w:rsidR="005E64FE" w:rsidRDefault="005E64FE" w:rsidP="005E64FE">
      <w:pPr>
        <w:pStyle w:val="ListParagraph"/>
        <w:numPr>
          <w:ilvl w:val="0"/>
          <w:numId w:val="1"/>
        </w:numPr>
        <w:spacing w:before="240" w:line="360" w:lineRule="auto"/>
        <w:jc w:val="both"/>
        <w:rPr>
          <w:rFonts w:cstheme="minorHAnsi"/>
          <w:color w:val="000000" w:themeColor="text1"/>
          <w:spacing w:val="-2"/>
          <w:sz w:val="28"/>
          <w:szCs w:val="28"/>
          <w:shd w:val="clear" w:color="auto" w:fill="FFFFFF"/>
        </w:rPr>
      </w:pPr>
      <w:r w:rsidRPr="00F12975">
        <w:rPr>
          <w:rFonts w:cstheme="minorHAnsi"/>
          <w:color w:val="000000" w:themeColor="text1"/>
          <w:spacing w:val="-2"/>
          <w:sz w:val="28"/>
          <w:szCs w:val="28"/>
          <w:shd w:val="clear" w:color="auto" w:fill="FFFFFF"/>
        </w:rPr>
        <w:t>In Nairobi High Court Criminal Case No. 21 of 2013, the Petitioner was charged with the offence of murder contrary to section 203 as read with section 204 of the Penal Code. </w:t>
      </w:r>
    </w:p>
    <w:p w14:paraId="4B8F5CDB" w14:textId="77777777" w:rsidR="005E64FE" w:rsidRPr="005E64FE" w:rsidRDefault="005E64FE" w:rsidP="005E64FE">
      <w:pPr>
        <w:pStyle w:val="ListParagraph"/>
        <w:rPr>
          <w:rFonts w:cstheme="minorHAnsi"/>
          <w:color w:val="000000" w:themeColor="text1"/>
          <w:spacing w:val="-2"/>
          <w:sz w:val="28"/>
          <w:szCs w:val="28"/>
          <w:shd w:val="clear" w:color="auto" w:fill="FFFFFF"/>
        </w:rPr>
      </w:pPr>
    </w:p>
    <w:p w14:paraId="11E83CEA" w14:textId="77777777" w:rsidR="005E64FE" w:rsidRDefault="005E64FE" w:rsidP="005E64FE">
      <w:pPr>
        <w:pStyle w:val="ListParagraph"/>
        <w:numPr>
          <w:ilvl w:val="0"/>
          <w:numId w:val="1"/>
        </w:numPr>
        <w:spacing w:before="240" w:line="360" w:lineRule="auto"/>
        <w:jc w:val="both"/>
        <w:rPr>
          <w:rFonts w:cstheme="minorHAnsi"/>
          <w:color w:val="000000" w:themeColor="text1"/>
          <w:spacing w:val="-2"/>
          <w:sz w:val="28"/>
          <w:szCs w:val="28"/>
          <w:shd w:val="clear" w:color="auto" w:fill="FFFFFF"/>
        </w:rPr>
      </w:pPr>
      <w:r w:rsidRPr="005E64FE">
        <w:rPr>
          <w:rFonts w:cstheme="minorHAnsi"/>
          <w:color w:val="000000" w:themeColor="text1"/>
          <w:spacing w:val="-2"/>
          <w:sz w:val="28"/>
          <w:szCs w:val="28"/>
          <w:shd w:val="clear" w:color="auto" w:fill="FFFFFF"/>
        </w:rPr>
        <w:t>The 2</w:t>
      </w:r>
      <w:r w:rsidRPr="005E64FE">
        <w:rPr>
          <w:rFonts w:cstheme="minorHAnsi"/>
          <w:color w:val="000000" w:themeColor="text1"/>
          <w:spacing w:val="-2"/>
          <w:sz w:val="28"/>
          <w:szCs w:val="28"/>
          <w:shd w:val="clear" w:color="auto" w:fill="FFFFFF"/>
          <w:vertAlign w:val="superscript"/>
        </w:rPr>
        <w:t>nd</w:t>
      </w:r>
      <w:r w:rsidRPr="005E64FE">
        <w:rPr>
          <w:rFonts w:cstheme="minorHAnsi"/>
          <w:color w:val="000000" w:themeColor="text1"/>
          <w:spacing w:val="-2"/>
          <w:sz w:val="28"/>
          <w:szCs w:val="28"/>
          <w:shd w:val="clear" w:color="auto" w:fill="FFFFFF"/>
        </w:rPr>
        <w:t xml:space="preserve"> Respondent states that the Petitioner was convicted and sentenced to death, and that the High Court judgment was delivered on 15</w:t>
      </w:r>
      <w:r w:rsidRPr="005E64FE">
        <w:rPr>
          <w:rFonts w:cstheme="minorHAnsi"/>
          <w:color w:val="000000" w:themeColor="text1"/>
          <w:spacing w:val="-2"/>
          <w:sz w:val="28"/>
          <w:szCs w:val="28"/>
          <w:shd w:val="clear" w:color="auto" w:fill="FFFFFF"/>
          <w:vertAlign w:val="superscript"/>
        </w:rPr>
        <w:t>th</w:t>
      </w:r>
      <w:r w:rsidRPr="005E64FE">
        <w:rPr>
          <w:rFonts w:cstheme="minorHAnsi"/>
          <w:color w:val="000000" w:themeColor="text1"/>
          <w:spacing w:val="-2"/>
          <w:sz w:val="28"/>
          <w:szCs w:val="28"/>
          <w:shd w:val="clear" w:color="auto" w:fill="FFFFFF"/>
        </w:rPr>
        <w:t xml:space="preserve"> September 2016. The 2</w:t>
      </w:r>
      <w:r w:rsidRPr="005E64FE">
        <w:rPr>
          <w:rFonts w:cstheme="minorHAnsi"/>
          <w:color w:val="000000" w:themeColor="text1"/>
          <w:spacing w:val="-2"/>
          <w:sz w:val="28"/>
          <w:szCs w:val="28"/>
          <w:shd w:val="clear" w:color="auto" w:fill="FFFFFF"/>
          <w:vertAlign w:val="superscript"/>
        </w:rPr>
        <w:t>nd</w:t>
      </w:r>
      <w:r w:rsidRPr="005E64FE">
        <w:rPr>
          <w:rFonts w:cstheme="minorHAnsi"/>
          <w:color w:val="000000" w:themeColor="text1"/>
          <w:spacing w:val="-2"/>
          <w:sz w:val="28"/>
          <w:szCs w:val="28"/>
          <w:shd w:val="clear" w:color="auto" w:fill="FFFFFF"/>
        </w:rPr>
        <w:t xml:space="preserve"> Respondent further states that the Petitioner appealed in Criminal Appeal No. 123 of 2019, which was dismissed, with the Court of Appeal affirming both conviction and sentence.</w:t>
      </w:r>
    </w:p>
    <w:p w14:paraId="1575A265" w14:textId="77777777" w:rsidR="005E64FE" w:rsidRPr="005E64FE" w:rsidRDefault="005E64FE" w:rsidP="005E64FE">
      <w:pPr>
        <w:pStyle w:val="ListParagraph"/>
        <w:rPr>
          <w:rFonts w:cstheme="minorHAnsi"/>
          <w:color w:val="000000" w:themeColor="text1"/>
          <w:spacing w:val="-2"/>
          <w:sz w:val="28"/>
          <w:szCs w:val="28"/>
          <w:shd w:val="clear" w:color="auto" w:fill="FFFFFF"/>
        </w:rPr>
      </w:pPr>
    </w:p>
    <w:p w14:paraId="5F5B8488" w14:textId="77777777" w:rsidR="005E64FE" w:rsidRDefault="005E64FE" w:rsidP="005E64FE">
      <w:pPr>
        <w:pStyle w:val="ListParagraph"/>
        <w:numPr>
          <w:ilvl w:val="0"/>
          <w:numId w:val="1"/>
        </w:numPr>
        <w:spacing w:before="240" w:line="360" w:lineRule="auto"/>
        <w:jc w:val="both"/>
        <w:rPr>
          <w:rFonts w:cstheme="minorHAnsi"/>
          <w:color w:val="000000" w:themeColor="text1"/>
          <w:spacing w:val="-2"/>
          <w:sz w:val="28"/>
          <w:szCs w:val="28"/>
          <w:shd w:val="clear" w:color="auto" w:fill="FFFFFF"/>
        </w:rPr>
      </w:pPr>
      <w:r w:rsidRPr="005E64FE">
        <w:rPr>
          <w:rFonts w:cstheme="minorHAnsi"/>
          <w:color w:val="000000" w:themeColor="text1"/>
          <w:spacing w:val="-2"/>
          <w:sz w:val="28"/>
          <w:szCs w:val="28"/>
          <w:shd w:val="clear" w:color="auto" w:fill="FFFFFF"/>
        </w:rPr>
        <w:t xml:space="preserve">The Petitioner being an inmate having been convicted to serve a life sentence at </w:t>
      </w:r>
      <w:proofErr w:type="spellStart"/>
      <w:r w:rsidRPr="005E64FE">
        <w:rPr>
          <w:rFonts w:cstheme="minorHAnsi"/>
          <w:color w:val="000000" w:themeColor="text1"/>
          <w:spacing w:val="-2"/>
          <w:sz w:val="28"/>
          <w:szCs w:val="28"/>
          <w:shd w:val="clear" w:color="auto" w:fill="FFFFFF"/>
        </w:rPr>
        <w:t>Kamiti</w:t>
      </w:r>
      <w:proofErr w:type="spellEnd"/>
      <w:r w:rsidRPr="005E64FE">
        <w:rPr>
          <w:rFonts w:cstheme="minorHAnsi"/>
          <w:color w:val="000000" w:themeColor="text1"/>
          <w:spacing w:val="-2"/>
          <w:sz w:val="28"/>
          <w:szCs w:val="28"/>
          <w:shd w:val="clear" w:color="auto" w:fill="FFFFFF"/>
        </w:rPr>
        <w:t xml:space="preserve"> Maximum Prison. In the supporting affidavit sworn on 31</w:t>
      </w:r>
      <w:r w:rsidRPr="005E64FE">
        <w:rPr>
          <w:rFonts w:cstheme="minorHAnsi"/>
          <w:color w:val="000000" w:themeColor="text1"/>
          <w:spacing w:val="-2"/>
          <w:sz w:val="28"/>
          <w:szCs w:val="28"/>
          <w:shd w:val="clear" w:color="auto" w:fill="FFFFFF"/>
          <w:vertAlign w:val="superscript"/>
        </w:rPr>
        <w:t>st</w:t>
      </w:r>
      <w:r w:rsidRPr="005E64FE">
        <w:rPr>
          <w:rFonts w:cstheme="minorHAnsi"/>
          <w:color w:val="000000" w:themeColor="text1"/>
          <w:spacing w:val="-2"/>
          <w:sz w:val="28"/>
          <w:szCs w:val="28"/>
          <w:shd w:val="clear" w:color="auto" w:fill="FFFFFF"/>
        </w:rPr>
        <w:t xml:space="preserve"> March 2025, he again states that he was sentenced to suffer death and that the appeal was dismissed, and he avers that he has served twelve years in prison and seeks commutation to time served.</w:t>
      </w:r>
    </w:p>
    <w:p w14:paraId="54F83B3C" w14:textId="77777777" w:rsidR="005E64FE" w:rsidRPr="005E64FE" w:rsidRDefault="005E64FE" w:rsidP="005E64FE">
      <w:pPr>
        <w:pStyle w:val="ListParagraph"/>
        <w:rPr>
          <w:rFonts w:cstheme="minorHAnsi"/>
          <w:color w:val="000000" w:themeColor="text1"/>
          <w:spacing w:val="-2"/>
          <w:sz w:val="28"/>
          <w:szCs w:val="28"/>
          <w:shd w:val="clear" w:color="auto" w:fill="FFFFFF"/>
        </w:rPr>
      </w:pPr>
    </w:p>
    <w:p w14:paraId="4891CDB4" w14:textId="32F8A1C9" w:rsidR="005E64FE" w:rsidRDefault="005E64FE" w:rsidP="005E64FE">
      <w:pPr>
        <w:pStyle w:val="ListParagraph"/>
        <w:numPr>
          <w:ilvl w:val="0"/>
          <w:numId w:val="1"/>
        </w:numPr>
        <w:spacing w:before="240" w:line="360" w:lineRule="auto"/>
        <w:jc w:val="both"/>
        <w:rPr>
          <w:rFonts w:cstheme="minorHAnsi"/>
          <w:color w:val="000000" w:themeColor="text1"/>
          <w:spacing w:val="-2"/>
          <w:sz w:val="28"/>
          <w:szCs w:val="28"/>
          <w:shd w:val="clear" w:color="auto" w:fill="FFFFFF"/>
        </w:rPr>
      </w:pPr>
      <w:r w:rsidRPr="005E64FE">
        <w:rPr>
          <w:rFonts w:cstheme="minorHAnsi"/>
          <w:color w:val="000000" w:themeColor="text1"/>
          <w:spacing w:val="-2"/>
          <w:sz w:val="28"/>
          <w:szCs w:val="28"/>
          <w:shd w:val="clear" w:color="auto" w:fill="FFFFFF"/>
        </w:rPr>
        <w:t>The 2</w:t>
      </w:r>
      <w:r w:rsidRPr="005E64FE">
        <w:rPr>
          <w:rFonts w:cstheme="minorHAnsi"/>
          <w:color w:val="000000" w:themeColor="text1"/>
          <w:spacing w:val="-2"/>
          <w:sz w:val="28"/>
          <w:szCs w:val="28"/>
          <w:shd w:val="clear" w:color="auto" w:fill="FFFFFF"/>
          <w:vertAlign w:val="superscript"/>
        </w:rPr>
        <w:t>nd</w:t>
      </w:r>
      <w:r w:rsidRPr="005E64FE">
        <w:rPr>
          <w:rFonts w:cstheme="minorHAnsi"/>
          <w:color w:val="000000" w:themeColor="text1"/>
          <w:spacing w:val="-2"/>
          <w:sz w:val="28"/>
          <w:szCs w:val="28"/>
          <w:shd w:val="clear" w:color="auto" w:fill="FFFFFF"/>
        </w:rPr>
        <w:t xml:space="preserve"> Respondent filed a replying affidavit sworn on 19</w:t>
      </w:r>
      <w:r w:rsidRPr="005E64FE">
        <w:rPr>
          <w:rFonts w:cstheme="minorHAnsi"/>
          <w:color w:val="000000" w:themeColor="text1"/>
          <w:spacing w:val="-2"/>
          <w:sz w:val="28"/>
          <w:szCs w:val="28"/>
          <w:shd w:val="clear" w:color="auto" w:fill="FFFFFF"/>
          <w:vertAlign w:val="superscript"/>
        </w:rPr>
        <w:t>th</w:t>
      </w:r>
      <w:r w:rsidRPr="005E64FE">
        <w:rPr>
          <w:rFonts w:cstheme="minorHAnsi"/>
          <w:color w:val="000000" w:themeColor="text1"/>
          <w:spacing w:val="-2"/>
          <w:sz w:val="28"/>
          <w:szCs w:val="28"/>
          <w:shd w:val="clear" w:color="auto" w:fill="FFFFFF"/>
        </w:rPr>
        <w:t xml:space="preserve"> August 2025 and written submissions dated 19</w:t>
      </w:r>
      <w:r w:rsidRPr="005E64FE">
        <w:rPr>
          <w:rFonts w:cstheme="minorHAnsi"/>
          <w:color w:val="000000" w:themeColor="text1"/>
          <w:spacing w:val="-2"/>
          <w:sz w:val="28"/>
          <w:szCs w:val="28"/>
          <w:shd w:val="clear" w:color="auto" w:fill="FFFFFF"/>
          <w:vertAlign w:val="superscript"/>
        </w:rPr>
        <w:t>th</w:t>
      </w:r>
      <w:r>
        <w:rPr>
          <w:rFonts w:cstheme="minorHAnsi"/>
          <w:color w:val="000000" w:themeColor="text1"/>
          <w:spacing w:val="-2"/>
          <w:sz w:val="28"/>
          <w:szCs w:val="28"/>
          <w:shd w:val="clear" w:color="auto" w:fill="FFFFFF"/>
        </w:rPr>
        <w:t xml:space="preserve"> </w:t>
      </w:r>
      <w:r w:rsidRPr="005E64FE">
        <w:rPr>
          <w:rFonts w:cstheme="minorHAnsi"/>
          <w:color w:val="000000" w:themeColor="text1"/>
          <w:spacing w:val="-2"/>
          <w:sz w:val="28"/>
          <w:szCs w:val="28"/>
          <w:shd w:val="clear" w:color="auto" w:fill="FFFFFF"/>
        </w:rPr>
        <w:t xml:space="preserve">August 2025 opposing the Petition. The </w:t>
      </w:r>
      <w:r w:rsidRPr="005E64FE">
        <w:rPr>
          <w:rFonts w:cstheme="minorHAnsi"/>
          <w:color w:val="000000" w:themeColor="text1"/>
          <w:spacing w:val="-2"/>
          <w:sz w:val="28"/>
          <w:szCs w:val="28"/>
          <w:shd w:val="clear" w:color="auto" w:fill="FFFFFF"/>
        </w:rPr>
        <w:lastRenderedPageBreak/>
        <w:t xml:space="preserve">Petitioner filed written submissions dated </w:t>
      </w:r>
      <w:proofErr w:type="gramStart"/>
      <w:r w:rsidRPr="005E64FE">
        <w:rPr>
          <w:rFonts w:cstheme="minorHAnsi"/>
          <w:color w:val="000000" w:themeColor="text1"/>
          <w:spacing w:val="-2"/>
          <w:sz w:val="28"/>
          <w:szCs w:val="28"/>
          <w:shd w:val="clear" w:color="auto" w:fill="FFFFFF"/>
        </w:rPr>
        <w:t>25</w:t>
      </w:r>
      <w:r w:rsidR="00CA6D82" w:rsidRPr="00CA6D82">
        <w:rPr>
          <w:rFonts w:cstheme="minorHAnsi"/>
          <w:color w:val="000000" w:themeColor="text1"/>
          <w:spacing w:val="-2"/>
          <w:sz w:val="28"/>
          <w:szCs w:val="28"/>
          <w:shd w:val="clear" w:color="auto" w:fill="FFFFFF"/>
          <w:vertAlign w:val="superscript"/>
        </w:rPr>
        <w:t>th</w:t>
      </w:r>
      <w:r w:rsidR="00CA6D82">
        <w:rPr>
          <w:rFonts w:cstheme="minorHAnsi"/>
          <w:color w:val="000000" w:themeColor="text1"/>
          <w:spacing w:val="-2"/>
          <w:sz w:val="28"/>
          <w:szCs w:val="28"/>
          <w:shd w:val="clear" w:color="auto" w:fill="FFFFFF"/>
        </w:rPr>
        <w:t xml:space="preserve"> </w:t>
      </w:r>
      <w:r w:rsidRPr="005E64FE">
        <w:rPr>
          <w:rFonts w:cstheme="minorHAnsi"/>
          <w:color w:val="000000" w:themeColor="text1"/>
          <w:spacing w:val="-2"/>
          <w:sz w:val="28"/>
          <w:szCs w:val="28"/>
          <w:shd w:val="clear" w:color="auto" w:fill="FFFFFF"/>
        </w:rPr>
        <w:t xml:space="preserve"> August</w:t>
      </w:r>
      <w:proofErr w:type="gramEnd"/>
      <w:r w:rsidRPr="005E64FE">
        <w:rPr>
          <w:rFonts w:cstheme="minorHAnsi"/>
          <w:color w:val="000000" w:themeColor="text1"/>
          <w:spacing w:val="-2"/>
          <w:sz w:val="28"/>
          <w:szCs w:val="28"/>
          <w:shd w:val="clear" w:color="auto" w:fill="FFFFFF"/>
        </w:rPr>
        <w:t xml:space="preserve"> 2025 and further rejoinder and rebuttal.</w:t>
      </w:r>
    </w:p>
    <w:p w14:paraId="1C8D4171" w14:textId="77777777" w:rsidR="005E64FE" w:rsidRPr="005E64FE" w:rsidRDefault="005E64FE" w:rsidP="005E64FE">
      <w:pPr>
        <w:pStyle w:val="ListParagraph"/>
        <w:rPr>
          <w:rFonts w:cstheme="minorHAnsi"/>
          <w:color w:val="000000" w:themeColor="text1"/>
          <w:spacing w:val="-2"/>
          <w:sz w:val="28"/>
          <w:szCs w:val="28"/>
          <w:shd w:val="clear" w:color="auto" w:fill="FFFFFF"/>
        </w:rPr>
      </w:pPr>
    </w:p>
    <w:p w14:paraId="5C6ACA7C" w14:textId="04443AD6" w:rsidR="005E64FE" w:rsidRPr="005E64FE" w:rsidRDefault="005E64FE" w:rsidP="005E64FE">
      <w:pPr>
        <w:pStyle w:val="ListParagraph"/>
        <w:numPr>
          <w:ilvl w:val="0"/>
          <w:numId w:val="1"/>
        </w:numPr>
        <w:spacing w:before="240" w:line="360" w:lineRule="auto"/>
        <w:jc w:val="both"/>
        <w:rPr>
          <w:rFonts w:cstheme="minorHAnsi"/>
          <w:color w:val="000000" w:themeColor="text1"/>
          <w:spacing w:val="-2"/>
          <w:sz w:val="28"/>
          <w:szCs w:val="28"/>
          <w:shd w:val="clear" w:color="auto" w:fill="FFFFFF"/>
        </w:rPr>
      </w:pPr>
      <w:r w:rsidRPr="005E64FE">
        <w:rPr>
          <w:rFonts w:cstheme="minorHAnsi"/>
          <w:color w:val="000000" w:themeColor="text1"/>
          <w:spacing w:val="-2"/>
          <w:sz w:val="28"/>
          <w:szCs w:val="28"/>
          <w:shd w:val="clear" w:color="auto" w:fill="FFFFFF"/>
        </w:rPr>
        <w:t xml:space="preserve">The Petitioner’s position is that he is currently serving a life sentence at </w:t>
      </w:r>
      <w:proofErr w:type="spellStart"/>
      <w:r w:rsidRPr="005E64FE">
        <w:rPr>
          <w:rFonts w:cstheme="minorHAnsi"/>
          <w:color w:val="000000" w:themeColor="text1"/>
          <w:spacing w:val="-2"/>
          <w:sz w:val="28"/>
          <w:szCs w:val="28"/>
          <w:shd w:val="clear" w:color="auto" w:fill="FFFFFF"/>
        </w:rPr>
        <w:t>Kamiti</w:t>
      </w:r>
      <w:proofErr w:type="spellEnd"/>
      <w:r w:rsidRPr="005E64FE">
        <w:rPr>
          <w:rFonts w:cstheme="minorHAnsi"/>
          <w:color w:val="000000" w:themeColor="text1"/>
          <w:spacing w:val="-2"/>
          <w:sz w:val="28"/>
          <w:szCs w:val="28"/>
          <w:shd w:val="clear" w:color="auto" w:fill="FFFFFF"/>
        </w:rPr>
        <w:t xml:space="preserve"> Maximum Security Prison, and that the original death sentence for murder under section 203 as read with section 204 of the Penal Code was commuted by the President. He states that the Petition challenges the imposition of a life sentence as a discretionary alternative to the previously mandatory death sentence. He frames issues including whether this Court has jurisdiction, whether the life sentence imposed is consistent with Articles 25(c) and 50(2</w:t>
      </w:r>
      <w:proofErr w:type="gramStart"/>
      <w:r w:rsidRPr="005E64FE">
        <w:rPr>
          <w:rFonts w:cstheme="minorHAnsi"/>
          <w:color w:val="000000" w:themeColor="text1"/>
          <w:spacing w:val="-2"/>
          <w:sz w:val="28"/>
          <w:szCs w:val="28"/>
          <w:shd w:val="clear" w:color="auto" w:fill="FFFFFF"/>
        </w:rPr>
        <w:t>)(</w:t>
      </w:r>
      <w:proofErr w:type="gramEnd"/>
      <w:r w:rsidRPr="005E64FE">
        <w:rPr>
          <w:rFonts w:cstheme="minorHAnsi"/>
          <w:color w:val="000000" w:themeColor="text1"/>
          <w:spacing w:val="-2"/>
          <w:sz w:val="28"/>
          <w:szCs w:val="28"/>
          <w:shd w:val="clear" w:color="auto" w:fill="FFFFFF"/>
        </w:rPr>
        <w:t>p) of the Constitution as a less severe and discretionary alternative, and whether Kenya’s criminal jurisprudence should evolve towards greater judicial discretion. </w:t>
      </w:r>
    </w:p>
    <w:p w14:paraId="07E6D53C" w14:textId="77777777" w:rsidR="005E64FE" w:rsidRPr="00F12975" w:rsidRDefault="005E64FE" w:rsidP="005E64FE">
      <w:pPr>
        <w:pStyle w:val="ListParagraph"/>
        <w:spacing w:before="240" w:line="360" w:lineRule="auto"/>
        <w:ind w:left="360"/>
        <w:jc w:val="both"/>
        <w:rPr>
          <w:rFonts w:cstheme="minorHAnsi"/>
          <w:color w:val="000000" w:themeColor="text1"/>
          <w:sz w:val="28"/>
          <w:szCs w:val="28"/>
        </w:rPr>
      </w:pPr>
    </w:p>
    <w:p w14:paraId="6F20A57B"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rPr>
      </w:pPr>
      <w:r w:rsidRPr="00F12975">
        <w:rPr>
          <w:rFonts w:cstheme="minorHAnsi"/>
          <w:color w:val="000000" w:themeColor="text1"/>
          <w:spacing w:val="-2"/>
          <w:sz w:val="28"/>
          <w:szCs w:val="28"/>
          <w:shd w:val="clear" w:color="auto" w:fill="FFFFFF"/>
        </w:rPr>
        <w:t xml:space="preserve">On jurisdiction, he contends that the High Court is vested with authority by Article 165(3) to determine whether rights have been violated and to interpret the Constitution, and he relies on the principle that jurisdiction is foundational. He invokes the </w:t>
      </w:r>
      <w:proofErr w:type="spellStart"/>
      <w:r w:rsidRPr="00F12975">
        <w:rPr>
          <w:rFonts w:cstheme="minorHAnsi"/>
          <w:color w:val="000000" w:themeColor="text1"/>
          <w:spacing w:val="-2"/>
          <w:sz w:val="28"/>
          <w:szCs w:val="28"/>
          <w:shd w:val="clear" w:color="auto" w:fill="FFFFFF"/>
        </w:rPr>
        <w:t>Muruatetu</w:t>
      </w:r>
      <w:proofErr w:type="spellEnd"/>
      <w:r w:rsidRPr="00F12975">
        <w:rPr>
          <w:rFonts w:cstheme="minorHAnsi"/>
          <w:color w:val="000000" w:themeColor="text1"/>
          <w:spacing w:val="-2"/>
          <w:sz w:val="28"/>
          <w:szCs w:val="28"/>
          <w:shd w:val="clear" w:color="auto" w:fill="FFFFFF"/>
        </w:rPr>
        <w:t xml:space="preserve"> decision and the subsequent Supreme Court Directions in support of resentencing. He also relies on the Judiciary Sentencing Policy Guidelines (Gazette Notice No. 2970 of 2016) and advances rehabilitation and restorative justice considerations.</w:t>
      </w:r>
    </w:p>
    <w:p w14:paraId="52796308" w14:textId="77777777" w:rsidR="005E64FE" w:rsidRPr="005E64FE" w:rsidRDefault="005E64FE" w:rsidP="005E64FE">
      <w:pPr>
        <w:pStyle w:val="ListParagraph"/>
        <w:rPr>
          <w:rFonts w:cstheme="minorHAnsi"/>
          <w:color w:val="000000" w:themeColor="text1"/>
          <w:spacing w:val="-2"/>
          <w:sz w:val="28"/>
          <w:szCs w:val="28"/>
          <w:shd w:val="clear" w:color="auto" w:fill="FFFFFF"/>
        </w:rPr>
      </w:pPr>
    </w:p>
    <w:p w14:paraId="1B5F8720"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rPr>
      </w:pPr>
      <w:r w:rsidRPr="005E64FE">
        <w:rPr>
          <w:rFonts w:cstheme="minorHAnsi"/>
          <w:color w:val="000000" w:themeColor="text1"/>
          <w:spacing w:val="-2"/>
          <w:sz w:val="28"/>
          <w:szCs w:val="28"/>
          <w:shd w:val="clear" w:color="auto" w:fill="FFFFFF"/>
        </w:rPr>
        <w:t>In his rejoinder and rebuttal, he maintains that the Petition does not seek retrial of the criminal case but seeks a constitutional challenge to the sentence; he contends that the Petition meets the specificity test, and he disputes that Article 165(6) ousts the High Court’s jurisdiction to address constitutional violations in sentencing.</w:t>
      </w:r>
    </w:p>
    <w:p w14:paraId="3ACF8D40" w14:textId="77777777" w:rsidR="005E64FE" w:rsidRPr="005E64FE" w:rsidRDefault="005E64FE" w:rsidP="005E64FE">
      <w:pPr>
        <w:pStyle w:val="ListParagraph"/>
        <w:rPr>
          <w:rFonts w:cstheme="minorHAnsi"/>
          <w:color w:val="000000" w:themeColor="text1"/>
          <w:spacing w:val="-2"/>
          <w:sz w:val="28"/>
          <w:szCs w:val="28"/>
          <w:shd w:val="clear" w:color="auto" w:fill="FFFFFF"/>
        </w:rPr>
      </w:pPr>
    </w:p>
    <w:p w14:paraId="78C1E814"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rPr>
      </w:pPr>
      <w:r w:rsidRPr="005E64FE">
        <w:rPr>
          <w:rFonts w:cstheme="minorHAnsi"/>
          <w:color w:val="000000" w:themeColor="text1"/>
          <w:spacing w:val="-2"/>
          <w:sz w:val="28"/>
          <w:szCs w:val="28"/>
          <w:shd w:val="clear" w:color="auto" w:fill="FFFFFF"/>
        </w:rPr>
        <w:t>The 2</w:t>
      </w:r>
      <w:r w:rsidRPr="005E64FE">
        <w:rPr>
          <w:rFonts w:cstheme="minorHAnsi"/>
          <w:color w:val="000000" w:themeColor="text1"/>
          <w:spacing w:val="-2"/>
          <w:sz w:val="28"/>
          <w:szCs w:val="28"/>
          <w:shd w:val="clear" w:color="auto" w:fill="FFFFFF"/>
          <w:vertAlign w:val="superscript"/>
        </w:rPr>
        <w:t>nd</w:t>
      </w:r>
      <w:r w:rsidRPr="005E64FE">
        <w:rPr>
          <w:rFonts w:cstheme="minorHAnsi"/>
          <w:color w:val="000000" w:themeColor="text1"/>
          <w:spacing w:val="-2"/>
          <w:sz w:val="28"/>
          <w:szCs w:val="28"/>
          <w:shd w:val="clear" w:color="auto" w:fill="FFFFFF"/>
        </w:rPr>
        <w:t xml:space="preserve"> Respondent’s position, set out in the replying affidavit and submissions, is that the Petition is incompetent on two main grounds.</w:t>
      </w:r>
    </w:p>
    <w:p w14:paraId="41F1327D" w14:textId="77777777" w:rsidR="005E64FE" w:rsidRPr="005E64FE" w:rsidRDefault="005E64FE" w:rsidP="005E64FE">
      <w:pPr>
        <w:pStyle w:val="ListParagraph"/>
        <w:rPr>
          <w:rFonts w:cstheme="minorHAnsi"/>
          <w:color w:val="000000" w:themeColor="text1"/>
          <w:spacing w:val="-2"/>
          <w:sz w:val="28"/>
          <w:szCs w:val="28"/>
          <w:shd w:val="clear" w:color="auto" w:fill="FFFFFF"/>
        </w:rPr>
      </w:pPr>
    </w:p>
    <w:p w14:paraId="64A66F16" w14:textId="79E246C5"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rPr>
      </w:pPr>
      <w:r w:rsidRPr="005E64FE">
        <w:rPr>
          <w:rFonts w:cstheme="minorHAnsi"/>
          <w:color w:val="000000" w:themeColor="text1"/>
          <w:spacing w:val="-2"/>
          <w:sz w:val="28"/>
          <w:szCs w:val="28"/>
          <w:shd w:val="clear" w:color="auto" w:fill="FFFFFF"/>
        </w:rPr>
        <w:t>First, on jurisdiction, the 2</w:t>
      </w:r>
      <w:r w:rsidRPr="005E64FE">
        <w:rPr>
          <w:rFonts w:cstheme="minorHAnsi"/>
          <w:color w:val="000000" w:themeColor="text1"/>
          <w:spacing w:val="-2"/>
          <w:sz w:val="28"/>
          <w:szCs w:val="28"/>
          <w:shd w:val="clear" w:color="auto" w:fill="FFFFFF"/>
          <w:vertAlign w:val="superscript"/>
        </w:rPr>
        <w:t>nd</w:t>
      </w:r>
      <w:r w:rsidRPr="005E64FE">
        <w:rPr>
          <w:rFonts w:cstheme="minorHAnsi"/>
          <w:color w:val="000000" w:themeColor="text1"/>
          <w:spacing w:val="-2"/>
          <w:sz w:val="28"/>
          <w:szCs w:val="28"/>
          <w:shd w:val="clear" w:color="auto" w:fill="FFFFFF"/>
        </w:rPr>
        <w:t xml:space="preserve"> Respondent contends that this Court lacks jurisdiction because the matter has already been determined by a superior court, the Court of Appeal, and that Article 165(6) bars the High Court from exercising supervisory jurisdiction over a superior court. The 2nd Respondent submits that the Petition seeks to challenge a conviction and sentence upheld on appeal, and that entertaining the Petition would amount to an impermissible appellate review of a superior court decision. The 2</w:t>
      </w:r>
      <w:r w:rsidRPr="005E64FE">
        <w:rPr>
          <w:rFonts w:cstheme="minorHAnsi"/>
          <w:color w:val="000000" w:themeColor="text1"/>
          <w:spacing w:val="-2"/>
          <w:sz w:val="28"/>
          <w:szCs w:val="28"/>
          <w:shd w:val="clear" w:color="auto" w:fill="FFFFFF"/>
          <w:vertAlign w:val="superscript"/>
        </w:rPr>
        <w:t>nd</w:t>
      </w:r>
      <w:r w:rsidRPr="005E64FE">
        <w:rPr>
          <w:rFonts w:cstheme="minorHAnsi"/>
          <w:color w:val="000000" w:themeColor="text1"/>
          <w:spacing w:val="-2"/>
          <w:sz w:val="28"/>
          <w:szCs w:val="28"/>
          <w:shd w:val="clear" w:color="auto" w:fill="FFFFFF"/>
        </w:rPr>
        <w:t xml:space="preserve"> Respondent further submits that the Petition presents no new or compelling evidence and offers no legal or factual basis to disturb the sentence.</w:t>
      </w:r>
    </w:p>
    <w:p w14:paraId="60009B4C" w14:textId="77777777" w:rsidR="005E64FE" w:rsidRPr="00F12975" w:rsidRDefault="005E64FE" w:rsidP="005E64FE">
      <w:pPr>
        <w:pStyle w:val="ListParagraph"/>
        <w:spacing w:before="240" w:line="360" w:lineRule="auto"/>
        <w:ind w:left="360"/>
        <w:jc w:val="both"/>
        <w:rPr>
          <w:rFonts w:cstheme="minorHAnsi"/>
          <w:color w:val="000000" w:themeColor="text1"/>
          <w:sz w:val="28"/>
          <w:szCs w:val="28"/>
        </w:rPr>
      </w:pPr>
    </w:p>
    <w:p w14:paraId="12529990" w14:textId="77777777" w:rsidR="005E64FE" w:rsidRPr="00F12975" w:rsidRDefault="005E64FE" w:rsidP="005E64FE">
      <w:pPr>
        <w:pStyle w:val="ListParagraph"/>
        <w:numPr>
          <w:ilvl w:val="0"/>
          <w:numId w:val="1"/>
        </w:numPr>
        <w:spacing w:before="240" w:line="360" w:lineRule="auto"/>
        <w:jc w:val="both"/>
        <w:rPr>
          <w:rFonts w:cstheme="minorHAnsi"/>
          <w:color w:val="000000" w:themeColor="text1"/>
          <w:sz w:val="28"/>
          <w:szCs w:val="28"/>
        </w:rPr>
      </w:pPr>
      <w:r w:rsidRPr="00F12975">
        <w:rPr>
          <w:rFonts w:cstheme="minorHAnsi"/>
          <w:color w:val="000000" w:themeColor="text1"/>
          <w:spacing w:val="-2"/>
          <w:sz w:val="28"/>
          <w:szCs w:val="28"/>
          <w:shd w:val="clear" w:color="auto" w:fill="FFFFFF"/>
        </w:rPr>
        <w:t>Second, on specificity, the 2</w:t>
      </w:r>
      <w:r w:rsidRPr="00F12975">
        <w:rPr>
          <w:rFonts w:cstheme="minorHAnsi"/>
          <w:color w:val="000000" w:themeColor="text1"/>
          <w:spacing w:val="-2"/>
          <w:sz w:val="28"/>
          <w:szCs w:val="28"/>
          <w:shd w:val="clear" w:color="auto" w:fill="FFFFFF"/>
          <w:vertAlign w:val="superscript"/>
        </w:rPr>
        <w:t>nd</w:t>
      </w:r>
      <w:r w:rsidRPr="00F12975">
        <w:rPr>
          <w:rFonts w:cstheme="minorHAnsi"/>
          <w:color w:val="000000" w:themeColor="text1"/>
          <w:spacing w:val="-2"/>
          <w:sz w:val="28"/>
          <w:szCs w:val="28"/>
          <w:shd w:val="clear" w:color="auto" w:fill="FFFFFF"/>
        </w:rPr>
        <w:t xml:space="preserve"> Respondent submits that the Petition fails to “set out with reasonable degree of precision” that which the Petitioner complains of, the provisions said to have been violated, and the manner of violation, relying on </w:t>
      </w:r>
      <w:proofErr w:type="spellStart"/>
      <w:r w:rsidRPr="00085354">
        <w:rPr>
          <w:rFonts w:cstheme="minorHAnsi"/>
          <w:b/>
          <w:bCs/>
          <w:i/>
          <w:iCs/>
          <w:color w:val="000000" w:themeColor="text1"/>
          <w:spacing w:val="-2"/>
          <w:sz w:val="28"/>
          <w:szCs w:val="28"/>
          <w:shd w:val="clear" w:color="auto" w:fill="FFFFFF"/>
        </w:rPr>
        <w:t>Anarita</w:t>
      </w:r>
      <w:proofErr w:type="spellEnd"/>
      <w:r w:rsidRPr="00085354">
        <w:rPr>
          <w:rFonts w:cstheme="minorHAnsi"/>
          <w:b/>
          <w:bCs/>
          <w:i/>
          <w:iCs/>
          <w:color w:val="000000" w:themeColor="text1"/>
          <w:spacing w:val="-2"/>
          <w:sz w:val="28"/>
          <w:szCs w:val="28"/>
          <w:shd w:val="clear" w:color="auto" w:fill="FFFFFF"/>
        </w:rPr>
        <w:t xml:space="preserve"> </w:t>
      </w:r>
      <w:proofErr w:type="spellStart"/>
      <w:r w:rsidRPr="00085354">
        <w:rPr>
          <w:rFonts w:cstheme="minorHAnsi"/>
          <w:b/>
          <w:bCs/>
          <w:i/>
          <w:iCs/>
          <w:color w:val="000000" w:themeColor="text1"/>
          <w:spacing w:val="-2"/>
          <w:sz w:val="28"/>
          <w:szCs w:val="28"/>
          <w:shd w:val="clear" w:color="auto" w:fill="FFFFFF"/>
        </w:rPr>
        <w:t>Karimi</w:t>
      </w:r>
      <w:proofErr w:type="spellEnd"/>
      <w:r w:rsidRPr="00085354">
        <w:rPr>
          <w:rFonts w:cstheme="minorHAnsi"/>
          <w:b/>
          <w:bCs/>
          <w:i/>
          <w:iCs/>
          <w:color w:val="000000" w:themeColor="text1"/>
          <w:spacing w:val="-2"/>
          <w:sz w:val="28"/>
          <w:szCs w:val="28"/>
          <w:shd w:val="clear" w:color="auto" w:fill="FFFFFF"/>
        </w:rPr>
        <w:t xml:space="preserve"> Njeru</w:t>
      </w:r>
      <w:r w:rsidRPr="00F12975">
        <w:rPr>
          <w:rFonts w:cstheme="minorHAnsi"/>
          <w:color w:val="000000" w:themeColor="text1"/>
          <w:spacing w:val="-2"/>
          <w:sz w:val="28"/>
          <w:szCs w:val="28"/>
          <w:shd w:val="clear" w:color="auto" w:fill="FFFFFF"/>
        </w:rPr>
        <w:t xml:space="preserve"> and </w:t>
      </w:r>
      <w:proofErr w:type="spellStart"/>
      <w:r w:rsidRPr="007045C6">
        <w:rPr>
          <w:rFonts w:cstheme="minorHAnsi"/>
          <w:b/>
          <w:bCs/>
          <w:i/>
          <w:iCs/>
          <w:color w:val="000000" w:themeColor="text1"/>
          <w:spacing w:val="-2"/>
          <w:sz w:val="28"/>
          <w:szCs w:val="28"/>
          <w:shd w:val="clear" w:color="auto" w:fill="FFFFFF"/>
        </w:rPr>
        <w:t>Mumo</w:t>
      </w:r>
      <w:proofErr w:type="spellEnd"/>
      <w:r w:rsidRPr="007045C6">
        <w:rPr>
          <w:rFonts w:cstheme="minorHAnsi"/>
          <w:b/>
          <w:bCs/>
          <w:i/>
          <w:iCs/>
          <w:color w:val="000000" w:themeColor="text1"/>
          <w:spacing w:val="-2"/>
          <w:sz w:val="28"/>
          <w:szCs w:val="28"/>
          <w:shd w:val="clear" w:color="auto" w:fill="FFFFFF"/>
        </w:rPr>
        <w:t xml:space="preserve"> </w:t>
      </w:r>
      <w:proofErr w:type="spellStart"/>
      <w:r w:rsidRPr="007045C6">
        <w:rPr>
          <w:rFonts w:cstheme="minorHAnsi"/>
          <w:b/>
          <w:bCs/>
          <w:i/>
          <w:iCs/>
          <w:color w:val="000000" w:themeColor="text1"/>
          <w:spacing w:val="-2"/>
          <w:sz w:val="28"/>
          <w:szCs w:val="28"/>
          <w:shd w:val="clear" w:color="auto" w:fill="FFFFFF"/>
        </w:rPr>
        <w:t>Matemu</w:t>
      </w:r>
      <w:proofErr w:type="spellEnd"/>
      <w:r w:rsidRPr="00F12975">
        <w:rPr>
          <w:rFonts w:cstheme="minorHAnsi"/>
          <w:color w:val="000000" w:themeColor="text1"/>
          <w:spacing w:val="-2"/>
          <w:sz w:val="28"/>
          <w:szCs w:val="28"/>
          <w:shd w:val="clear" w:color="auto" w:fill="FFFFFF"/>
        </w:rPr>
        <w:t>. The 2</w:t>
      </w:r>
      <w:r w:rsidRPr="00F12975">
        <w:rPr>
          <w:rFonts w:cstheme="minorHAnsi"/>
          <w:color w:val="000000" w:themeColor="text1"/>
          <w:spacing w:val="-2"/>
          <w:sz w:val="28"/>
          <w:szCs w:val="28"/>
          <w:shd w:val="clear" w:color="auto" w:fill="FFFFFF"/>
          <w:vertAlign w:val="superscript"/>
        </w:rPr>
        <w:t>nd</w:t>
      </w:r>
      <w:r w:rsidRPr="00F12975">
        <w:rPr>
          <w:rFonts w:cstheme="minorHAnsi"/>
          <w:color w:val="000000" w:themeColor="text1"/>
          <w:spacing w:val="-2"/>
          <w:sz w:val="28"/>
          <w:szCs w:val="28"/>
          <w:shd w:val="clear" w:color="auto" w:fill="FFFFFF"/>
        </w:rPr>
        <w:t xml:space="preserve"> Respondent urges that the Petition fails the specificity test and should be dismissed as misconceived, bad in law, and an abuse of process.</w:t>
      </w:r>
    </w:p>
    <w:p w14:paraId="05D9F2D2" w14:textId="77777777" w:rsidR="005E64FE" w:rsidRPr="000C0F1E" w:rsidRDefault="005E64FE" w:rsidP="005E64FE">
      <w:pPr>
        <w:spacing w:before="240" w:line="360" w:lineRule="auto"/>
        <w:jc w:val="both"/>
        <w:rPr>
          <w:rFonts w:cstheme="minorHAnsi"/>
          <w:b/>
          <w:bCs/>
          <w:color w:val="000000" w:themeColor="text1"/>
          <w:sz w:val="28"/>
          <w:szCs w:val="28"/>
        </w:rPr>
      </w:pPr>
      <w:r w:rsidRPr="000C0F1E">
        <w:rPr>
          <w:rFonts w:cstheme="minorHAnsi"/>
          <w:b/>
          <w:bCs/>
          <w:color w:val="000000" w:themeColor="text1"/>
          <w:sz w:val="28"/>
          <w:szCs w:val="28"/>
        </w:rPr>
        <w:t>Issues for determination</w:t>
      </w:r>
    </w:p>
    <w:p w14:paraId="15451D09" w14:textId="77777777" w:rsidR="005E64FE" w:rsidRPr="00F12975" w:rsidRDefault="005E64FE" w:rsidP="005E64FE">
      <w:pPr>
        <w:pStyle w:val="ListParagraph"/>
        <w:numPr>
          <w:ilvl w:val="0"/>
          <w:numId w:val="1"/>
        </w:numPr>
        <w:spacing w:before="240" w:line="360" w:lineRule="auto"/>
        <w:jc w:val="both"/>
        <w:rPr>
          <w:rFonts w:cstheme="minorHAnsi"/>
          <w:color w:val="000000" w:themeColor="text1"/>
          <w:sz w:val="28"/>
          <w:szCs w:val="28"/>
        </w:rPr>
      </w:pPr>
      <w:r w:rsidRPr="00F12975">
        <w:rPr>
          <w:rFonts w:cstheme="minorHAnsi"/>
          <w:color w:val="000000" w:themeColor="text1"/>
          <w:sz w:val="28"/>
          <w:szCs w:val="28"/>
          <w:lang w:val="en-US"/>
        </w:rPr>
        <w:t>Having considered the pleadings and the submissions, the Court identifies the following issues for determination.</w:t>
      </w:r>
    </w:p>
    <w:p w14:paraId="640E7728" w14:textId="5B831E88" w:rsidR="005E64FE" w:rsidRPr="00AE179D" w:rsidRDefault="005E64FE" w:rsidP="00AE179D">
      <w:pPr>
        <w:pStyle w:val="ListParagraph"/>
        <w:numPr>
          <w:ilvl w:val="0"/>
          <w:numId w:val="2"/>
        </w:numPr>
        <w:spacing w:before="240" w:line="360" w:lineRule="auto"/>
        <w:jc w:val="both"/>
        <w:rPr>
          <w:rFonts w:cstheme="minorHAnsi"/>
          <w:i/>
          <w:iCs/>
          <w:color w:val="000000" w:themeColor="text1"/>
          <w:sz w:val="28"/>
          <w:szCs w:val="28"/>
          <w:lang w:val="en-US"/>
        </w:rPr>
      </w:pPr>
      <w:r w:rsidRPr="00B73C5E">
        <w:rPr>
          <w:rFonts w:cstheme="minorHAnsi"/>
          <w:i/>
          <w:iCs/>
          <w:color w:val="000000" w:themeColor="text1"/>
          <w:sz w:val="28"/>
          <w:szCs w:val="28"/>
          <w:lang w:val="en-US"/>
        </w:rPr>
        <w:lastRenderedPageBreak/>
        <w:t>Whether this Court has jurisdiction to entertain the Petition, in light of Articles 165(3) and 165(6) of the Constitution, and the concluded criminal appeal.</w:t>
      </w:r>
    </w:p>
    <w:p w14:paraId="6D0CB929" w14:textId="77777777" w:rsidR="00AE179D" w:rsidRDefault="005E64FE" w:rsidP="00AE179D">
      <w:pPr>
        <w:pStyle w:val="ListParagraph"/>
        <w:numPr>
          <w:ilvl w:val="0"/>
          <w:numId w:val="2"/>
        </w:numPr>
        <w:spacing w:before="240" w:line="360" w:lineRule="auto"/>
        <w:jc w:val="both"/>
        <w:rPr>
          <w:rFonts w:cstheme="minorHAnsi"/>
          <w:i/>
          <w:iCs/>
          <w:color w:val="000000" w:themeColor="text1"/>
          <w:sz w:val="28"/>
          <w:szCs w:val="28"/>
          <w:lang w:val="en-US"/>
        </w:rPr>
      </w:pPr>
      <w:r w:rsidRPr="00B73C5E">
        <w:rPr>
          <w:rFonts w:cstheme="minorHAnsi"/>
          <w:i/>
          <w:iCs/>
          <w:color w:val="000000" w:themeColor="text1"/>
          <w:sz w:val="28"/>
          <w:szCs w:val="28"/>
          <w:lang w:val="en-US"/>
        </w:rPr>
        <w:t>Whether the Petition satisfies the constitutional pleading threshold of reasonable precision for alleged rights violations</w:t>
      </w:r>
    </w:p>
    <w:p w14:paraId="48446562" w14:textId="68ED2762" w:rsidR="005E64FE" w:rsidRPr="00AE179D" w:rsidRDefault="005E64FE" w:rsidP="00AE179D">
      <w:pPr>
        <w:pStyle w:val="ListParagraph"/>
        <w:numPr>
          <w:ilvl w:val="0"/>
          <w:numId w:val="2"/>
        </w:numPr>
        <w:spacing w:before="240" w:line="360" w:lineRule="auto"/>
        <w:jc w:val="both"/>
        <w:rPr>
          <w:rFonts w:cstheme="minorHAnsi"/>
          <w:i/>
          <w:iCs/>
          <w:color w:val="000000" w:themeColor="text1"/>
          <w:sz w:val="28"/>
          <w:szCs w:val="28"/>
          <w:lang w:val="en-US"/>
        </w:rPr>
      </w:pPr>
      <w:r w:rsidRPr="00AE179D">
        <w:rPr>
          <w:rFonts w:cstheme="minorHAnsi"/>
          <w:i/>
          <w:iCs/>
          <w:color w:val="000000" w:themeColor="text1"/>
          <w:sz w:val="28"/>
          <w:szCs w:val="28"/>
          <w:lang w:val="en-US"/>
        </w:rPr>
        <w:t xml:space="preserve">Whether, in light of the </w:t>
      </w:r>
      <w:proofErr w:type="spellStart"/>
      <w:r w:rsidRPr="00AE179D">
        <w:rPr>
          <w:rFonts w:cstheme="minorHAnsi"/>
          <w:i/>
          <w:iCs/>
          <w:color w:val="000000" w:themeColor="text1"/>
          <w:sz w:val="28"/>
          <w:szCs w:val="28"/>
          <w:lang w:val="en-US"/>
        </w:rPr>
        <w:t>Muruatetu</w:t>
      </w:r>
      <w:proofErr w:type="spellEnd"/>
      <w:r w:rsidRPr="00AE179D">
        <w:rPr>
          <w:rFonts w:cstheme="minorHAnsi"/>
          <w:i/>
          <w:iCs/>
          <w:color w:val="000000" w:themeColor="text1"/>
          <w:sz w:val="28"/>
          <w:szCs w:val="28"/>
          <w:lang w:val="en-US"/>
        </w:rPr>
        <w:t xml:space="preserve"> decision and the later Supreme Court Directions on resentencing, the Petition discloses a proper basis for the reliefs sought.</w:t>
      </w:r>
    </w:p>
    <w:p w14:paraId="02F2375F" w14:textId="5AA531C2" w:rsidR="005E64FE" w:rsidRPr="00B73C5E" w:rsidRDefault="005E64FE" w:rsidP="005E64FE">
      <w:pPr>
        <w:spacing w:before="240" w:line="360" w:lineRule="auto"/>
        <w:jc w:val="both"/>
        <w:rPr>
          <w:rFonts w:cstheme="minorHAnsi"/>
          <w:b/>
          <w:bCs/>
          <w:color w:val="000000" w:themeColor="text1"/>
          <w:sz w:val="28"/>
          <w:szCs w:val="28"/>
          <w:lang w:val="en-US"/>
        </w:rPr>
      </w:pPr>
      <w:r w:rsidRPr="00B73C5E">
        <w:rPr>
          <w:rFonts w:cstheme="minorHAnsi"/>
          <w:b/>
          <w:bCs/>
          <w:color w:val="000000" w:themeColor="text1"/>
          <w:sz w:val="28"/>
          <w:szCs w:val="28"/>
          <w:lang w:val="en-US"/>
        </w:rPr>
        <w:t>Analysis</w:t>
      </w:r>
      <w:r w:rsidR="00AE179D">
        <w:rPr>
          <w:rFonts w:cstheme="minorHAnsi"/>
          <w:b/>
          <w:bCs/>
          <w:color w:val="000000" w:themeColor="text1"/>
          <w:sz w:val="28"/>
          <w:szCs w:val="28"/>
          <w:lang w:val="en-US"/>
        </w:rPr>
        <w:t xml:space="preserve"> and determination</w:t>
      </w:r>
    </w:p>
    <w:p w14:paraId="73EB07EA"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F12975">
        <w:rPr>
          <w:rFonts w:cstheme="minorHAnsi"/>
          <w:color w:val="000000" w:themeColor="text1"/>
          <w:sz w:val="28"/>
          <w:szCs w:val="28"/>
          <w:lang w:val="en-US"/>
        </w:rPr>
        <w:t xml:space="preserve"> </w:t>
      </w:r>
      <w:r w:rsidRPr="00F12975">
        <w:rPr>
          <w:rFonts w:cstheme="minorHAnsi"/>
          <w:color w:val="000000" w:themeColor="text1"/>
          <w:sz w:val="28"/>
          <w:szCs w:val="28"/>
        </w:rPr>
        <w:t xml:space="preserve">In </w:t>
      </w:r>
      <w:r w:rsidRPr="0018074F">
        <w:rPr>
          <w:rFonts w:cstheme="minorHAnsi"/>
          <w:b/>
          <w:bCs/>
          <w:i/>
          <w:iCs/>
          <w:color w:val="000000" w:themeColor="text1"/>
          <w:sz w:val="28"/>
          <w:szCs w:val="28"/>
        </w:rPr>
        <w:t>Owners of the Motor Vessel “Lillian S” v Caltex Oil (Kenya) Ltd [1989] KECA 48 (KLR)</w:t>
      </w:r>
      <w:r w:rsidRPr="00F12975">
        <w:rPr>
          <w:rFonts w:cstheme="minorHAnsi"/>
          <w:color w:val="000000" w:themeColor="text1"/>
          <w:sz w:val="28"/>
          <w:szCs w:val="28"/>
        </w:rPr>
        <w:t>, the Court of Appeal stated: “</w:t>
      </w:r>
      <w:r w:rsidRPr="0018074F">
        <w:rPr>
          <w:rFonts w:cstheme="minorHAnsi"/>
          <w:i/>
          <w:iCs/>
          <w:color w:val="000000" w:themeColor="text1"/>
          <w:sz w:val="28"/>
          <w:szCs w:val="28"/>
        </w:rPr>
        <w:t>Jurisdiction is everything. Without it, a court has no power to make one more step</w:t>
      </w:r>
      <w:r w:rsidRPr="00F12975">
        <w:rPr>
          <w:rFonts w:cstheme="minorHAnsi"/>
          <w:color w:val="000000" w:themeColor="text1"/>
          <w:sz w:val="28"/>
          <w:szCs w:val="28"/>
        </w:rPr>
        <w:t>.”</w:t>
      </w:r>
    </w:p>
    <w:p w14:paraId="5E7CB8AC" w14:textId="77777777" w:rsidR="005E64FE" w:rsidRPr="005E64FE" w:rsidRDefault="005E64FE" w:rsidP="005E64FE">
      <w:pPr>
        <w:pStyle w:val="ListParagraph"/>
        <w:spacing w:before="240" w:line="360" w:lineRule="auto"/>
        <w:ind w:left="360"/>
        <w:jc w:val="both"/>
        <w:rPr>
          <w:rFonts w:cstheme="minorHAnsi"/>
          <w:color w:val="000000" w:themeColor="text1"/>
          <w:sz w:val="28"/>
          <w:szCs w:val="28"/>
          <w:lang w:val="en-US"/>
        </w:rPr>
      </w:pPr>
    </w:p>
    <w:p w14:paraId="754BFED2"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5E64FE">
        <w:rPr>
          <w:rFonts w:cstheme="minorHAnsi"/>
          <w:color w:val="000000" w:themeColor="text1"/>
          <w:sz w:val="28"/>
          <w:szCs w:val="28"/>
        </w:rPr>
        <w:t xml:space="preserve">The Supreme Court in </w:t>
      </w:r>
      <w:r w:rsidRPr="004D7645">
        <w:rPr>
          <w:rFonts w:cstheme="minorHAnsi"/>
          <w:b/>
          <w:bCs/>
          <w:i/>
          <w:iCs/>
          <w:color w:val="000000" w:themeColor="text1"/>
          <w:sz w:val="28"/>
          <w:szCs w:val="28"/>
        </w:rPr>
        <w:t xml:space="preserve">Samuel </w:t>
      </w:r>
      <w:proofErr w:type="spellStart"/>
      <w:r w:rsidRPr="004D7645">
        <w:rPr>
          <w:rFonts w:cstheme="minorHAnsi"/>
          <w:b/>
          <w:bCs/>
          <w:i/>
          <w:iCs/>
          <w:color w:val="000000" w:themeColor="text1"/>
          <w:sz w:val="28"/>
          <w:szCs w:val="28"/>
        </w:rPr>
        <w:t>Kamau</w:t>
      </w:r>
      <w:proofErr w:type="spellEnd"/>
      <w:r w:rsidRPr="004D7645">
        <w:rPr>
          <w:rFonts w:cstheme="minorHAnsi"/>
          <w:b/>
          <w:bCs/>
          <w:i/>
          <w:iCs/>
          <w:color w:val="000000" w:themeColor="text1"/>
          <w:sz w:val="28"/>
          <w:szCs w:val="28"/>
        </w:rPr>
        <w:t xml:space="preserve"> </w:t>
      </w:r>
      <w:proofErr w:type="spellStart"/>
      <w:r w:rsidRPr="004D7645">
        <w:rPr>
          <w:rFonts w:cstheme="minorHAnsi"/>
          <w:b/>
          <w:bCs/>
          <w:i/>
          <w:iCs/>
          <w:color w:val="000000" w:themeColor="text1"/>
          <w:sz w:val="28"/>
          <w:szCs w:val="28"/>
        </w:rPr>
        <w:t>Macharia</w:t>
      </w:r>
      <w:proofErr w:type="spellEnd"/>
      <w:r w:rsidRPr="004D7645">
        <w:rPr>
          <w:rFonts w:cstheme="minorHAnsi"/>
          <w:b/>
          <w:bCs/>
          <w:i/>
          <w:iCs/>
          <w:color w:val="000000" w:themeColor="text1"/>
          <w:sz w:val="28"/>
          <w:szCs w:val="28"/>
        </w:rPr>
        <w:t xml:space="preserve"> &amp; another v Kenya Commercial Bank Ltd &amp; 2 others [2012] KESC 8 (KLR)</w:t>
      </w:r>
      <w:r w:rsidRPr="005E64FE">
        <w:rPr>
          <w:rFonts w:cstheme="minorHAnsi"/>
          <w:color w:val="000000" w:themeColor="text1"/>
          <w:sz w:val="28"/>
          <w:szCs w:val="28"/>
        </w:rPr>
        <w:t xml:space="preserve"> emphasised that “</w:t>
      </w:r>
      <w:r w:rsidRPr="004D7645">
        <w:rPr>
          <w:rFonts w:cstheme="minorHAnsi"/>
          <w:i/>
          <w:iCs/>
          <w:color w:val="000000" w:themeColor="text1"/>
          <w:sz w:val="28"/>
          <w:szCs w:val="28"/>
        </w:rPr>
        <w:t>a court’s jurisdiction flows from either the Constitution or legislation or both”</w:t>
      </w:r>
      <w:r w:rsidRPr="005E64FE">
        <w:rPr>
          <w:rFonts w:cstheme="minorHAnsi"/>
          <w:color w:val="000000" w:themeColor="text1"/>
          <w:sz w:val="28"/>
          <w:szCs w:val="28"/>
        </w:rPr>
        <w:t xml:space="preserve"> </w:t>
      </w:r>
      <w:r w:rsidRPr="007C6715">
        <w:rPr>
          <w:rFonts w:cstheme="minorHAnsi"/>
          <w:i/>
          <w:iCs/>
          <w:color w:val="000000" w:themeColor="text1"/>
          <w:sz w:val="28"/>
          <w:szCs w:val="28"/>
        </w:rPr>
        <w:t>and that it “cannot arrogate to itself jurisdiction exceeding that which was conferred upon it by law.”</w:t>
      </w:r>
    </w:p>
    <w:p w14:paraId="7F7BAE3A" w14:textId="77777777" w:rsidR="005E64FE" w:rsidRPr="005E64FE" w:rsidRDefault="005E64FE" w:rsidP="005E64FE">
      <w:pPr>
        <w:pStyle w:val="ListParagraph"/>
        <w:rPr>
          <w:rFonts w:cstheme="minorHAnsi"/>
          <w:color w:val="000000" w:themeColor="text1"/>
          <w:sz w:val="28"/>
          <w:szCs w:val="28"/>
        </w:rPr>
      </w:pPr>
    </w:p>
    <w:p w14:paraId="75494670"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5E64FE">
        <w:rPr>
          <w:rFonts w:cstheme="minorHAnsi"/>
          <w:color w:val="000000" w:themeColor="text1"/>
          <w:sz w:val="28"/>
          <w:szCs w:val="28"/>
        </w:rPr>
        <w:t xml:space="preserve">The Petitioner invokes Article 165(3), which indeed allocates to the High Court jurisdiction to determine alleged violations of rights and to interpret the Constitution. That jurisdiction, however, operates within an architecture that includes Article 165(6), which restricts the High Court’s supervisory jurisdiction to subordinate courts and specified bodies “but not over a superior court.” The question is therefore not whether the High Court has constitutional jurisdiction </w:t>
      </w:r>
      <w:r w:rsidRPr="005E64FE">
        <w:rPr>
          <w:rFonts w:cstheme="minorHAnsi"/>
          <w:color w:val="000000" w:themeColor="text1"/>
          <w:sz w:val="28"/>
          <w:szCs w:val="28"/>
        </w:rPr>
        <w:lastRenderedPageBreak/>
        <w:t>in the abstract, but whether the specific relief sought requires this Court to exercise a prohibited supervisory or appellate role over a superior court’s concluded decision.</w:t>
      </w:r>
    </w:p>
    <w:p w14:paraId="17203385" w14:textId="77777777" w:rsidR="005E64FE" w:rsidRPr="005E64FE" w:rsidRDefault="005E64FE" w:rsidP="005E64FE">
      <w:pPr>
        <w:pStyle w:val="ListParagraph"/>
        <w:rPr>
          <w:rFonts w:cstheme="minorHAnsi"/>
          <w:color w:val="000000" w:themeColor="text1"/>
          <w:sz w:val="28"/>
          <w:szCs w:val="28"/>
        </w:rPr>
      </w:pPr>
    </w:p>
    <w:p w14:paraId="17F5FC5D"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5E64FE">
        <w:rPr>
          <w:rFonts w:cstheme="minorHAnsi"/>
          <w:color w:val="000000" w:themeColor="text1"/>
          <w:sz w:val="28"/>
          <w:szCs w:val="28"/>
        </w:rPr>
        <w:t>On the record before Court, the Petitioner confirms that he appealed both conviction and sentence and that the appeal was dismissed. The Petition then asks this Court to remit the case to the trial court for determination of an appropriate sentence and in the same breath seeks liberty “in the interests of justice.” Those prayers, framed as constitutional remedies, operate in substance as a further challenge to a sentence already affirmed on appeal and as an invitation to this Court to reopen the sentencing outcome outside the structured framework designed for such review.</w:t>
      </w:r>
    </w:p>
    <w:p w14:paraId="52DF4810" w14:textId="77777777" w:rsidR="005E64FE" w:rsidRPr="005E64FE" w:rsidRDefault="005E64FE" w:rsidP="005E64FE">
      <w:pPr>
        <w:pStyle w:val="ListParagraph"/>
        <w:rPr>
          <w:rFonts w:cstheme="minorHAnsi"/>
          <w:color w:val="000000" w:themeColor="text1"/>
          <w:sz w:val="28"/>
          <w:szCs w:val="28"/>
        </w:rPr>
      </w:pPr>
    </w:p>
    <w:p w14:paraId="3F0717F5"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5E64FE">
        <w:rPr>
          <w:rFonts w:cstheme="minorHAnsi"/>
          <w:color w:val="000000" w:themeColor="text1"/>
          <w:sz w:val="28"/>
          <w:szCs w:val="28"/>
        </w:rPr>
        <w:t xml:space="preserve">Our courts have repeatedly cautioned against employing constitutional process to bypass clear procedures for redress. In </w:t>
      </w:r>
      <w:r w:rsidRPr="007E00B7">
        <w:rPr>
          <w:rFonts w:cstheme="minorHAnsi"/>
          <w:b/>
          <w:bCs/>
          <w:i/>
          <w:iCs/>
          <w:color w:val="000000" w:themeColor="text1"/>
          <w:sz w:val="28"/>
          <w:szCs w:val="28"/>
        </w:rPr>
        <w:t xml:space="preserve">Speaker of the National Assembly v </w:t>
      </w:r>
      <w:proofErr w:type="spellStart"/>
      <w:r w:rsidRPr="007E00B7">
        <w:rPr>
          <w:rFonts w:cstheme="minorHAnsi"/>
          <w:b/>
          <w:bCs/>
          <w:i/>
          <w:iCs/>
          <w:color w:val="000000" w:themeColor="text1"/>
          <w:sz w:val="28"/>
          <w:szCs w:val="28"/>
        </w:rPr>
        <w:t>Karume</w:t>
      </w:r>
      <w:proofErr w:type="spellEnd"/>
      <w:r w:rsidRPr="007E00B7">
        <w:rPr>
          <w:rFonts w:cstheme="minorHAnsi"/>
          <w:b/>
          <w:bCs/>
          <w:i/>
          <w:iCs/>
          <w:color w:val="000000" w:themeColor="text1"/>
          <w:sz w:val="28"/>
          <w:szCs w:val="28"/>
        </w:rPr>
        <w:t xml:space="preserve"> [1992] KECA 42 (KLR)</w:t>
      </w:r>
      <w:r w:rsidRPr="005E64FE">
        <w:rPr>
          <w:rFonts w:cstheme="minorHAnsi"/>
          <w:color w:val="000000" w:themeColor="text1"/>
          <w:sz w:val="28"/>
          <w:szCs w:val="28"/>
        </w:rPr>
        <w:t>, the Court of Appeal held: “where there is a clear procedure for the redress of any particular grievance prescribed by the Constitution or an Act of Parliament, that procedure should be strictly followed.”  That principle is not a technicality; it is tied to the rule of law, institutional competence, and coherence of remedies.</w:t>
      </w:r>
    </w:p>
    <w:p w14:paraId="0E2EE853" w14:textId="77777777" w:rsidR="005E64FE" w:rsidRPr="005E64FE" w:rsidRDefault="005E64FE" w:rsidP="005E64FE">
      <w:pPr>
        <w:pStyle w:val="ListParagraph"/>
        <w:rPr>
          <w:rFonts w:cstheme="minorHAnsi"/>
          <w:color w:val="000000" w:themeColor="text1"/>
          <w:sz w:val="28"/>
          <w:szCs w:val="28"/>
        </w:rPr>
      </w:pPr>
    </w:p>
    <w:p w14:paraId="5630DCB0"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5E64FE">
        <w:rPr>
          <w:rFonts w:cstheme="minorHAnsi"/>
          <w:color w:val="000000" w:themeColor="text1"/>
          <w:sz w:val="28"/>
          <w:szCs w:val="28"/>
        </w:rPr>
        <w:t xml:space="preserve">The post </w:t>
      </w:r>
      <w:proofErr w:type="spellStart"/>
      <w:r w:rsidRPr="005E64FE">
        <w:rPr>
          <w:rFonts w:cstheme="minorHAnsi"/>
          <w:color w:val="000000" w:themeColor="text1"/>
          <w:sz w:val="28"/>
          <w:szCs w:val="28"/>
        </w:rPr>
        <w:t>Muruatetu</w:t>
      </w:r>
      <w:proofErr w:type="spellEnd"/>
      <w:r w:rsidRPr="005E64FE">
        <w:rPr>
          <w:rFonts w:cstheme="minorHAnsi"/>
          <w:color w:val="000000" w:themeColor="text1"/>
          <w:sz w:val="28"/>
          <w:szCs w:val="28"/>
        </w:rPr>
        <w:t xml:space="preserve"> resentencing is now a clear procedure for murder resentencing. In </w:t>
      </w:r>
      <w:r w:rsidRPr="00095046">
        <w:rPr>
          <w:rFonts w:cstheme="minorHAnsi"/>
          <w:b/>
          <w:bCs/>
          <w:i/>
          <w:iCs/>
          <w:color w:val="000000" w:themeColor="text1"/>
          <w:sz w:val="28"/>
          <w:szCs w:val="28"/>
        </w:rPr>
        <w:t xml:space="preserve">Francis </w:t>
      </w:r>
      <w:proofErr w:type="spellStart"/>
      <w:r w:rsidRPr="00095046">
        <w:rPr>
          <w:rFonts w:cstheme="minorHAnsi"/>
          <w:b/>
          <w:bCs/>
          <w:i/>
          <w:iCs/>
          <w:color w:val="000000" w:themeColor="text1"/>
          <w:sz w:val="28"/>
          <w:szCs w:val="28"/>
        </w:rPr>
        <w:t>Karioko</w:t>
      </w:r>
      <w:proofErr w:type="spellEnd"/>
      <w:r w:rsidRPr="00095046">
        <w:rPr>
          <w:rFonts w:cstheme="minorHAnsi"/>
          <w:b/>
          <w:bCs/>
          <w:i/>
          <w:iCs/>
          <w:color w:val="000000" w:themeColor="text1"/>
          <w:sz w:val="28"/>
          <w:szCs w:val="28"/>
        </w:rPr>
        <w:t xml:space="preserve"> </w:t>
      </w:r>
      <w:proofErr w:type="spellStart"/>
      <w:r w:rsidRPr="00095046">
        <w:rPr>
          <w:rFonts w:cstheme="minorHAnsi"/>
          <w:b/>
          <w:bCs/>
          <w:i/>
          <w:iCs/>
          <w:color w:val="000000" w:themeColor="text1"/>
          <w:sz w:val="28"/>
          <w:szCs w:val="28"/>
        </w:rPr>
        <w:t>Muruatetu</w:t>
      </w:r>
      <w:proofErr w:type="spellEnd"/>
      <w:r w:rsidRPr="00095046">
        <w:rPr>
          <w:rFonts w:cstheme="minorHAnsi"/>
          <w:b/>
          <w:bCs/>
          <w:i/>
          <w:iCs/>
          <w:color w:val="000000" w:themeColor="text1"/>
          <w:sz w:val="28"/>
          <w:szCs w:val="28"/>
        </w:rPr>
        <w:t xml:space="preserve"> &amp; another v Republic; </w:t>
      </w:r>
      <w:proofErr w:type="spellStart"/>
      <w:r w:rsidRPr="00095046">
        <w:rPr>
          <w:rFonts w:cstheme="minorHAnsi"/>
          <w:b/>
          <w:bCs/>
          <w:i/>
          <w:iCs/>
          <w:color w:val="000000" w:themeColor="text1"/>
          <w:sz w:val="28"/>
          <w:szCs w:val="28"/>
        </w:rPr>
        <w:t>Katiba</w:t>
      </w:r>
      <w:proofErr w:type="spellEnd"/>
      <w:r w:rsidRPr="00095046">
        <w:rPr>
          <w:rFonts w:cstheme="minorHAnsi"/>
          <w:b/>
          <w:bCs/>
          <w:i/>
          <w:iCs/>
          <w:color w:val="000000" w:themeColor="text1"/>
          <w:sz w:val="28"/>
          <w:szCs w:val="28"/>
        </w:rPr>
        <w:t xml:space="preserve"> Institute &amp; 5 others (Amicus Curiae) [2017] KESC 2 (KLR)</w:t>
      </w:r>
      <w:r w:rsidRPr="005E64FE">
        <w:rPr>
          <w:rFonts w:cstheme="minorHAnsi"/>
          <w:color w:val="000000" w:themeColor="text1"/>
          <w:sz w:val="28"/>
          <w:szCs w:val="28"/>
        </w:rPr>
        <w:t xml:space="preserve">, the Supreme Court ordered that “the mandatory nature of the death sentence as provided for under section 204 of the Penal Code is hereby declared unconstitutional,” and </w:t>
      </w:r>
      <w:r w:rsidRPr="005E64FE">
        <w:rPr>
          <w:rFonts w:cstheme="minorHAnsi"/>
          <w:color w:val="000000" w:themeColor="text1"/>
          <w:sz w:val="28"/>
          <w:szCs w:val="28"/>
        </w:rPr>
        <w:lastRenderedPageBreak/>
        <w:t>clarified that this order did not disturb the constitutional validity of the death sentence as a discretionary maximum.</w:t>
      </w:r>
    </w:p>
    <w:p w14:paraId="2B8F2375" w14:textId="77777777" w:rsidR="005E64FE" w:rsidRPr="005E64FE" w:rsidRDefault="005E64FE" w:rsidP="005E64FE">
      <w:pPr>
        <w:pStyle w:val="ListParagraph"/>
        <w:rPr>
          <w:rFonts w:cstheme="minorHAnsi"/>
          <w:color w:val="000000" w:themeColor="text1"/>
          <w:sz w:val="28"/>
          <w:szCs w:val="28"/>
        </w:rPr>
      </w:pPr>
    </w:p>
    <w:p w14:paraId="130A7DCF"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5E64FE">
        <w:rPr>
          <w:rFonts w:cstheme="minorHAnsi"/>
          <w:color w:val="000000" w:themeColor="text1"/>
          <w:sz w:val="28"/>
          <w:szCs w:val="28"/>
        </w:rPr>
        <w:t xml:space="preserve">The Supreme Court then remitted the matter to the High Court for rehearing on sentence.  The later Directions of 6 July 2021 clarified the operational framework, including that </w:t>
      </w:r>
      <w:r w:rsidRPr="00F47E20">
        <w:rPr>
          <w:rFonts w:cstheme="minorHAnsi"/>
          <w:i/>
          <w:iCs/>
          <w:color w:val="000000" w:themeColor="text1"/>
          <w:sz w:val="28"/>
          <w:szCs w:val="28"/>
        </w:rPr>
        <w:t>“an application for re-sentencing arising from a trial before the High Court can only be entertained by the High Court.”</w:t>
      </w:r>
      <w:r w:rsidRPr="005E64FE">
        <w:rPr>
          <w:rFonts w:cstheme="minorHAnsi"/>
          <w:color w:val="000000" w:themeColor="text1"/>
          <w:sz w:val="28"/>
          <w:szCs w:val="28"/>
        </w:rPr>
        <w:t>  They also require recording of prosecution, offender, and victim submissions and consideration of aggravating and mitigating factors before a suitable sentence is reached. </w:t>
      </w:r>
    </w:p>
    <w:p w14:paraId="148917A3" w14:textId="77777777" w:rsidR="005E64FE" w:rsidRPr="005E64FE" w:rsidRDefault="005E64FE" w:rsidP="005E64FE">
      <w:pPr>
        <w:pStyle w:val="ListParagraph"/>
        <w:rPr>
          <w:rFonts w:cstheme="minorHAnsi"/>
          <w:color w:val="000000" w:themeColor="text1"/>
          <w:sz w:val="28"/>
          <w:szCs w:val="28"/>
        </w:rPr>
      </w:pPr>
    </w:p>
    <w:p w14:paraId="4F623F51"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5E64FE">
        <w:rPr>
          <w:rFonts w:cstheme="minorHAnsi"/>
          <w:color w:val="000000" w:themeColor="text1"/>
          <w:sz w:val="28"/>
          <w:szCs w:val="28"/>
        </w:rPr>
        <w:t xml:space="preserve">These binding directions do not support the proposition that any prisoner may file a </w:t>
      </w:r>
      <w:proofErr w:type="spellStart"/>
      <w:r w:rsidRPr="005E64FE">
        <w:rPr>
          <w:rFonts w:cstheme="minorHAnsi"/>
          <w:color w:val="000000" w:themeColor="text1"/>
          <w:sz w:val="28"/>
          <w:szCs w:val="28"/>
        </w:rPr>
        <w:t>stand alone</w:t>
      </w:r>
      <w:proofErr w:type="spellEnd"/>
      <w:r w:rsidRPr="005E64FE">
        <w:rPr>
          <w:rFonts w:cstheme="minorHAnsi"/>
          <w:color w:val="000000" w:themeColor="text1"/>
          <w:sz w:val="28"/>
          <w:szCs w:val="28"/>
        </w:rPr>
        <w:t xml:space="preserve"> constitutional Petition seeking broad declarations and immediate liberty, without the sentencing record and without the structured material the Directions contemplate. Rather, the Directions contemplate a resentencing application, anchored to the criminal process and sentence rehearing, with relevant reports and participation, and with the Court exercising sentencing discretion within the limits of law.</w:t>
      </w:r>
    </w:p>
    <w:p w14:paraId="0723F074" w14:textId="77777777" w:rsidR="005E64FE" w:rsidRPr="005E64FE" w:rsidRDefault="005E64FE" w:rsidP="005E64FE">
      <w:pPr>
        <w:pStyle w:val="ListParagraph"/>
        <w:rPr>
          <w:rFonts w:cstheme="minorHAnsi"/>
          <w:color w:val="000000" w:themeColor="text1"/>
          <w:sz w:val="28"/>
          <w:szCs w:val="28"/>
        </w:rPr>
      </w:pPr>
    </w:p>
    <w:p w14:paraId="192FEF4C" w14:textId="77777777"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5E64FE">
        <w:rPr>
          <w:rFonts w:cstheme="minorHAnsi"/>
          <w:color w:val="000000" w:themeColor="text1"/>
          <w:sz w:val="28"/>
          <w:szCs w:val="28"/>
        </w:rPr>
        <w:t>In the petition, the Petitioner states that he is serving a life sentence, yet he also states he was sentenced to death and that he seeks commutation. In the supporting affidavit, he characterises the death sentence confirmed by the Court of Appeal as “an indeterminate sentence” and unconstitutional. </w:t>
      </w:r>
    </w:p>
    <w:p w14:paraId="5EFBE9EF" w14:textId="77777777" w:rsidR="005E64FE" w:rsidRPr="005E64FE" w:rsidRDefault="005E64FE" w:rsidP="005E64FE">
      <w:pPr>
        <w:pStyle w:val="ListParagraph"/>
        <w:rPr>
          <w:rFonts w:cstheme="minorHAnsi"/>
          <w:color w:val="000000" w:themeColor="text1"/>
          <w:sz w:val="28"/>
          <w:szCs w:val="28"/>
        </w:rPr>
      </w:pPr>
    </w:p>
    <w:p w14:paraId="469FEC76" w14:textId="77777777" w:rsidR="005E64FE" w:rsidRPr="006E17C2" w:rsidRDefault="005E64FE" w:rsidP="005E64FE">
      <w:pPr>
        <w:pStyle w:val="ListParagraph"/>
        <w:numPr>
          <w:ilvl w:val="0"/>
          <w:numId w:val="1"/>
        </w:numPr>
        <w:spacing w:before="240" w:line="360" w:lineRule="auto"/>
        <w:jc w:val="both"/>
        <w:rPr>
          <w:rFonts w:cstheme="minorHAnsi"/>
          <w:i/>
          <w:iCs/>
          <w:color w:val="000000" w:themeColor="text1"/>
          <w:sz w:val="28"/>
          <w:szCs w:val="28"/>
          <w:lang w:val="en-US"/>
        </w:rPr>
      </w:pPr>
      <w:r w:rsidRPr="005E64FE">
        <w:rPr>
          <w:rFonts w:cstheme="minorHAnsi"/>
          <w:color w:val="000000" w:themeColor="text1"/>
          <w:sz w:val="28"/>
          <w:szCs w:val="28"/>
        </w:rPr>
        <w:t xml:space="preserve">In </w:t>
      </w:r>
      <w:proofErr w:type="spellStart"/>
      <w:r w:rsidRPr="00F47E20">
        <w:rPr>
          <w:rFonts w:cstheme="minorHAnsi"/>
          <w:b/>
          <w:bCs/>
          <w:i/>
          <w:iCs/>
          <w:color w:val="000000" w:themeColor="text1"/>
          <w:sz w:val="28"/>
          <w:szCs w:val="28"/>
        </w:rPr>
        <w:t>Anarita</w:t>
      </w:r>
      <w:proofErr w:type="spellEnd"/>
      <w:r w:rsidRPr="00F47E20">
        <w:rPr>
          <w:rFonts w:cstheme="minorHAnsi"/>
          <w:b/>
          <w:bCs/>
          <w:i/>
          <w:iCs/>
          <w:color w:val="000000" w:themeColor="text1"/>
          <w:sz w:val="28"/>
          <w:szCs w:val="28"/>
        </w:rPr>
        <w:t xml:space="preserve"> </w:t>
      </w:r>
      <w:proofErr w:type="spellStart"/>
      <w:r w:rsidRPr="00F47E20">
        <w:rPr>
          <w:rFonts w:cstheme="minorHAnsi"/>
          <w:b/>
          <w:bCs/>
          <w:i/>
          <w:iCs/>
          <w:color w:val="000000" w:themeColor="text1"/>
          <w:sz w:val="28"/>
          <w:szCs w:val="28"/>
        </w:rPr>
        <w:t>Karimi</w:t>
      </w:r>
      <w:proofErr w:type="spellEnd"/>
      <w:r w:rsidRPr="00F47E20">
        <w:rPr>
          <w:rFonts w:cstheme="minorHAnsi"/>
          <w:b/>
          <w:bCs/>
          <w:i/>
          <w:iCs/>
          <w:color w:val="000000" w:themeColor="text1"/>
          <w:sz w:val="28"/>
          <w:szCs w:val="28"/>
        </w:rPr>
        <w:t xml:space="preserve"> Njeru v Republic [1979] KEHC 30 (KLR</w:t>
      </w:r>
      <w:r w:rsidRPr="00860804">
        <w:rPr>
          <w:rFonts w:cstheme="minorHAnsi"/>
          <w:b/>
          <w:bCs/>
          <w:i/>
          <w:iCs/>
          <w:color w:val="000000" w:themeColor="text1"/>
          <w:sz w:val="28"/>
          <w:szCs w:val="28"/>
        </w:rPr>
        <w:t>),</w:t>
      </w:r>
      <w:r w:rsidRPr="005E64FE">
        <w:rPr>
          <w:rFonts w:cstheme="minorHAnsi"/>
          <w:color w:val="000000" w:themeColor="text1"/>
          <w:sz w:val="28"/>
          <w:szCs w:val="28"/>
        </w:rPr>
        <w:t xml:space="preserve"> the High Court stated that a person seeking constitutional redress should </w:t>
      </w:r>
      <w:r w:rsidRPr="006E17C2">
        <w:rPr>
          <w:rFonts w:cstheme="minorHAnsi"/>
          <w:i/>
          <w:iCs/>
          <w:color w:val="000000" w:themeColor="text1"/>
          <w:sz w:val="28"/>
          <w:szCs w:val="28"/>
        </w:rPr>
        <w:t xml:space="preserve">“set out with a reasonable </w:t>
      </w:r>
      <w:r w:rsidRPr="006E17C2">
        <w:rPr>
          <w:rFonts w:cstheme="minorHAnsi"/>
          <w:i/>
          <w:iCs/>
          <w:color w:val="000000" w:themeColor="text1"/>
          <w:sz w:val="28"/>
          <w:szCs w:val="28"/>
        </w:rPr>
        <w:lastRenderedPageBreak/>
        <w:t>degree of precision that of which he complains, the provisions said to be infringed, and the manner in which they are alleged to be infringed.”</w:t>
      </w:r>
      <w:r w:rsidRPr="005E64FE">
        <w:rPr>
          <w:rFonts w:cstheme="minorHAnsi"/>
          <w:color w:val="000000" w:themeColor="text1"/>
          <w:sz w:val="28"/>
          <w:szCs w:val="28"/>
        </w:rPr>
        <w:t xml:space="preserve">  The Court of Appeal in </w:t>
      </w:r>
      <w:proofErr w:type="spellStart"/>
      <w:r w:rsidRPr="006E17C2">
        <w:rPr>
          <w:rFonts w:cstheme="minorHAnsi"/>
          <w:b/>
          <w:bCs/>
          <w:i/>
          <w:iCs/>
          <w:color w:val="000000" w:themeColor="text1"/>
          <w:sz w:val="28"/>
          <w:szCs w:val="28"/>
        </w:rPr>
        <w:t>Mumo</w:t>
      </w:r>
      <w:proofErr w:type="spellEnd"/>
      <w:r w:rsidRPr="006E17C2">
        <w:rPr>
          <w:rFonts w:cstheme="minorHAnsi"/>
          <w:b/>
          <w:bCs/>
          <w:i/>
          <w:iCs/>
          <w:color w:val="000000" w:themeColor="text1"/>
          <w:sz w:val="28"/>
          <w:szCs w:val="28"/>
        </w:rPr>
        <w:t xml:space="preserve"> </w:t>
      </w:r>
      <w:proofErr w:type="spellStart"/>
      <w:r w:rsidRPr="006E17C2">
        <w:rPr>
          <w:rFonts w:cstheme="minorHAnsi"/>
          <w:b/>
          <w:bCs/>
          <w:i/>
          <w:iCs/>
          <w:color w:val="000000" w:themeColor="text1"/>
          <w:sz w:val="28"/>
          <w:szCs w:val="28"/>
        </w:rPr>
        <w:t>Matemu</w:t>
      </w:r>
      <w:proofErr w:type="spellEnd"/>
      <w:r w:rsidRPr="006E17C2">
        <w:rPr>
          <w:rFonts w:cstheme="minorHAnsi"/>
          <w:b/>
          <w:bCs/>
          <w:i/>
          <w:iCs/>
          <w:color w:val="000000" w:themeColor="text1"/>
          <w:sz w:val="28"/>
          <w:szCs w:val="28"/>
        </w:rPr>
        <w:t xml:space="preserve"> v Trusted Society of Human Rights Alliance &amp; 5 others [2013] KECA 445 (KLR)</w:t>
      </w:r>
      <w:r w:rsidRPr="005E64FE">
        <w:rPr>
          <w:rFonts w:cstheme="minorHAnsi"/>
          <w:color w:val="000000" w:themeColor="text1"/>
          <w:sz w:val="28"/>
          <w:szCs w:val="28"/>
        </w:rPr>
        <w:t xml:space="preserve"> stressed the importance of </w:t>
      </w:r>
      <w:r w:rsidRPr="006E17C2">
        <w:rPr>
          <w:rFonts w:cstheme="minorHAnsi"/>
          <w:i/>
          <w:iCs/>
          <w:color w:val="000000" w:themeColor="text1"/>
          <w:sz w:val="28"/>
          <w:szCs w:val="28"/>
        </w:rPr>
        <w:t>“precise legal and factual claims,” while noting that “precision is not coterminous with exactitude.” </w:t>
      </w:r>
    </w:p>
    <w:p w14:paraId="003F3DBE" w14:textId="77777777" w:rsidR="005E64FE" w:rsidRPr="005E64FE" w:rsidRDefault="005E64FE" w:rsidP="005E64FE">
      <w:pPr>
        <w:pStyle w:val="ListParagraph"/>
        <w:rPr>
          <w:rFonts w:cstheme="minorHAnsi"/>
          <w:color w:val="000000" w:themeColor="text1"/>
          <w:sz w:val="28"/>
          <w:szCs w:val="28"/>
        </w:rPr>
      </w:pPr>
    </w:p>
    <w:p w14:paraId="4494D993" w14:textId="4832241B" w:rsidR="005E64FE" w:rsidRPr="005E64FE"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5E64FE">
        <w:rPr>
          <w:rFonts w:cstheme="minorHAnsi"/>
          <w:color w:val="000000" w:themeColor="text1"/>
          <w:sz w:val="28"/>
          <w:szCs w:val="28"/>
        </w:rPr>
        <w:t>Applying those standards, this Petition does not meet the threshold.</w:t>
      </w:r>
    </w:p>
    <w:p w14:paraId="1D6BBAE4" w14:textId="77777777" w:rsidR="005E64FE" w:rsidRPr="00C12782" w:rsidRDefault="005E64FE" w:rsidP="005E64FE">
      <w:pPr>
        <w:pStyle w:val="ListParagraph"/>
        <w:spacing w:before="240" w:line="360" w:lineRule="auto"/>
        <w:ind w:left="360"/>
        <w:jc w:val="both"/>
        <w:rPr>
          <w:rFonts w:cstheme="minorHAnsi"/>
          <w:color w:val="000000" w:themeColor="text1"/>
          <w:sz w:val="28"/>
          <w:szCs w:val="28"/>
          <w:lang w:val="en-US"/>
        </w:rPr>
      </w:pPr>
    </w:p>
    <w:p w14:paraId="48ED722D" w14:textId="77777777" w:rsidR="005E64FE" w:rsidRPr="00F12975"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F12975">
        <w:rPr>
          <w:rFonts w:cstheme="minorHAnsi"/>
          <w:color w:val="000000" w:themeColor="text1"/>
          <w:sz w:val="28"/>
          <w:szCs w:val="28"/>
        </w:rPr>
        <w:t>The Petition cites numerous constitutional provisions, but the factual narrative is confined largely to conviction, appeal dismissal, and time served, with conclusory assertions that rights were violated. It does not identify what specific act or omission by the Attorney General or the Director of Public Prosecutions violated which constitutional right, and in what manner. </w:t>
      </w:r>
    </w:p>
    <w:p w14:paraId="58420EC6" w14:textId="77777777" w:rsidR="005E64FE" w:rsidRPr="00F12975" w:rsidRDefault="005E64FE" w:rsidP="005E64FE">
      <w:pPr>
        <w:pStyle w:val="ListParagraph"/>
        <w:rPr>
          <w:rFonts w:cstheme="minorHAnsi"/>
          <w:color w:val="000000" w:themeColor="text1"/>
          <w:sz w:val="28"/>
          <w:szCs w:val="28"/>
        </w:rPr>
      </w:pPr>
    </w:p>
    <w:p w14:paraId="793DA761" w14:textId="77777777" w:rsidR="005E64FE" w:rsidRPr="006E17C2" w:rsidRDefault="005E64FE" w:rsidP="005E64FE">
      <w:pPr>
        <w:pStyle w:val="ListParagraph"/>
        <w:numPr>
          <w:ilvl w:val="0"/>
          <w:numId w:val="1"/>
        </w:numPr>
        <w:spacing w:before="240" w:line="360" w:lineRule="auto"/>
        <w:jc w:val="both"/>
        <w:rPr>
          <w:rFonts w:cstheme="minorHAnsi"/>
          <w:i/>
          <w:iCs/>
          <w:color w:val="000000" w:themeColor="text1"/>
          <w:sz w:val="28"/>
          <w:szCs w:val="28"/>
          <w:lang w:val="en-US"/>
        </w:rPr>
      </w:pPr>
      <w:r w:rsidRPr="00F12975">
        <w:rPr>
          <w:rFonts w:cstheme="minorHAnsi"/>
          <w:color w:val="000000" w:themeColor="text1"/>
          <w:sz w:val="28"/>
          <w:szCs w:val="28"/>
        </w:rPr>
        <w:t xml:space="preserve">The Court of Appeal in </w:t>
      </w:r>
      <w:r w:rsidRPr="006E17C2">
        <w:rPr>
          <w:rFonts w:cstheme="minorHAnsi"/>
          <w:b/>
          <w:bCs/>
          <w:i/>
          <w:iCs/>
          <w:color w:val="000000" w:themeColor="text1"/>
          <w:sz w:val="28"/>
          <w:szCs w:val="28"/>
        </w:rPr>
        <w:t xml:space="preserve">Independent Electoral and Boundaries Commission v </w:t>
      </w:r>
      <w:proofErr w:type="spellStart"/>
      <w:r w:rsidRPr="006E17C2">
        <w:rPr>
          <w:rFonts w:cstheme="minorHAnsi"/>
          <w:b/>
          <w:bCs/>
          <w:i/>
          <w:iCs/>
          <w:color w:val="000000" w:themeColor="text1"/>
          <w:sz w:val="28"/>
          <w:szCs w:val="28"/>
        </w:rPr>
        <w:t>Kiai</w:t>
      </w:r>
      <w:proofErr w:type="spellEnd"/>
      <w:r w:rsidRPr="006E17C2">
        <w:rPr>
          <w:rFonts w:cstheme="minorHAnsi"/>
          <w:b/>
          <w:bCs/>
          <w:i/>
          <w:iCs/>
          <w:color w:val="000000" w:themeColor="text1"/>
          <w:sz w:val="28"/>
          <w:szCs w:val="28"/>
        </w:rPr>
        <w:t xml:space="preserve"> &amp; 5 others [2017] KECA 477 (KLR) </w:t>
      </w:r>
      <w:r w:rsidRPr="00F12975">
        <w:rPr>
          <w:rFonts w:cstheme="minorHAnsi"/>
          <w:color w:val="000000" w:themeColor="text1"/>
          <w:sz w:val="28"/>
          <w:szCs w:val="28"/>
        </w:rPr>
        <w:t xml:space="preserve">reproduced section 7 of the Civil Procedure Act and underscored that res judicata has jurisdictional consequences, and that the statutory elements are conjunctive.  The Supreme Court in </w:t>
      </w:r>
      <w:r w:rsidRPr="006E17C2">
        <w:rPr>
          <w:rFonts w:cstheme="minorHAnsi"/>
          <w:b/>
          <w:bCs/>
          <w:i/>
          <w:iCs/>
          <w:color w:val="000000" w:themeColor="text1"/>
          <w:sz w:val="28"/>
          <w:szCs w:val="28"/>
        </w:rPr>
        <w:t>John Florence Maritime Services Limited &amp; another v Cabinet Secretary for Transport &amp; Infrastructure &amp; 3 others [2021] KESC 39 (KLR)</w:t>
      </w:r>
      <w:r w:rsidRPr="00F12975">
        <w:rPr>
          <w:rFonts w:cstheme="minorHAnsi"/>
          <w:color w:val="000000" w:themeColor="text1"/>
          <w:sz w:val="28"/>
          <w:szCs w:val="28"/>
        </w:rPr>
        <w:t xml:space="preserve"> stated that </w:t>
      </w:r>
      <w:r w:rsidRPr="006E17C2">
        <w:rPr>
          <w:rFonts w:cstheme="minorHAnsi"/>
          <w:i/>
          <w:iCs/>
          <w:color w:val="000000" w:themeColor="text1"/>
          <w:sz w:val="28"/>
          <w:szCs w:val="28"/>
        </w:rPr>
        <w:t>“the doctrine of res judicata, in effect, allows a litigant only one bite at the cherry.” </w:t>
      </w:r>
    </w:p>
    <w:p w14:paraId="4D4B3231" w14:textId="77777777" w:rsidR="005E64FE" w:rsidRPr="00F12975" w:rsidRDefault="005E64FE" w:rsidP="005E64FE">
      <w:pPr>
        <w:pStyle w:val="ListParagraph"/>
        <w:spacing w:before="240" w:line="360" w:lineRule="auto"/>
        <w:ind w:left="360"/>
        <w:jc w:val="both"/>
        <w:rPr>
          <w:rFonts w:cstheme="minorHAnsi"/>
          <w:color w:val="000000" w:themeColor="text1"/>
          <w:sz w:val="28"/>
          <w:szCs w:val="28"/>
          <w:lang w:val="en-US"/>
        </w:rPr>
      </w:pPr>
    </w:p>
    <w:p w14:paraId="58D168AD" w14:textId="77777777" w:rsidR="005E64FE" w:rsidRPr="00F12975"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F12975">
        <w:rPr>
          <w:rFonts w:cstheme="minorHAnsi"/>
          <w:color w:val="000000" w:themeColor="text1"/>
          <w:sz w:val="28"/>
          <w:szCs w:val="28"/>
        </w:rPr>
        <w:t xml:space="preserve">This Petition arises from a criminal trial and a criminal appeal. The Petitioner confirms that the appeal challenged conviction and sentence, and that it was </w:t>
      </w:r>
      <w:r w:rsidRPr="00F12975">
        <w:rPr>
          <w:rFonts w:cstheme="minorHAnsi"/>
          <w:color w:val="000000" w:themeColor="text1"/>
          <w:sz w:val="28"/>
          <w:szCs w:val="28"/>
        </w:rPr>
        <w:lastRenderedPageBreak/>
        <w:t>dismissed. The Petition then asks this Court to disturb the sentencing outcome by remitting for an appropriate remedy or sentence and by ordering liberty.</w:t>
      </w:r>
    </w:p>
    <w:p w14:paraId="74A99DBF" w14:textId="77777777" w:rsidR="005E64FE" w:rsidRPr="00F12975" w:rsidRDefault="005E64FE" w:rsidP="005E64FE">
      <w:pPr>
        <w:pStyle w:val="ListParagraph"/>
        <w:rPr>
          <w:rFonts w:cstheme="minorHAnsi"/>
          <w:color w:val="000000" w:themeColor="text1"/>
          <w:sz w:val="28"/>
          <w:szCs w:val="28"/>
        </w:rPr>
      </w:pPr>
    </w:p>
    <w:p w14:paraId="2A158D9E" w14:textId="68442230" w:rsidR="005E64FE" w:rsidRPr="00F12975"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F12975">
        <w:rPr>
          <w:rFonts w:cstheme="minorHAnsi"/>
          <w:color w:val="000000" w:themeColor="text1"/>
          <w:sz w:val="28"/>
          <w:szCs w:val="28"/>
        </w:rPr>
        <w:t xml:space="preserve">The </w:t>
      </w:r>
      <w:r w:rsidR="00B62001">
        <w:rPr>
          <w:rFonts w:cstheme="minorHAnsi"/>
          <w:color w:val="000000" w:themeColor="text1"/>
          <w:sz w:val="28"/>
          <w:szCs w:val="28"/>
        </w:rPr>
        <w:t>P</w:t>
      </w:r>
      <w:r w:rsidRPr="00F12975">
        <w:rPr>
          <w:rFonts w:cstheme="minorHAnsi"/>
          <w:color w:val="000000" w:themeColor="text1"/>
          <w:sz w:val="28"/>
          <w:szCs w:val="28"/>
        </w:rPr>
        <w:t>etitioner seeks a second judicial bite at a sentencing challenge, without demonstrating the kind of exceptional circumstances that could justify reopening through a properly framed and procedurally compliant resentencing application. The combination of a concluded appeal and a new constitutional petition seeking sentencing relief on the same sentence presents features of forum shopping that the doctrines of res judicata and abuse of process are designed to restrain. </w:t>
      </w:r>
    </w:p>
    <w:p w14:paraId="17E6A92A" w14:textId="77777777" w:rsidR="005E64FE" w:rsidRPr="00F12975" w:rsidRDefault="005E64FE" w:rsidP="005E64FE">
      <w:pPr>
        <w:spacing w:before="240" w:line="360" w:lineRule="auto"/>
        <w:jc w:val="both"/>
        <w:rPr>
          <w:rFonts w:cstheme="minorHAnsi"/>
          <w:b/>
          <w:bCs/>
          <w:color w:val="000000" w:themeColor="text1"/>
          <w:sz w:val="28"/>
          <w:szCs w:val="28"/>
          <w:lang w:val="en-US"/>
        </w:rPr>
      </w:pPr>
      <w:r w:rsidRPr="00F12975">
        <w:rPr>
          <w:rFonts w:cstheme="minorHAnsi"/>
          <w:b/>
          <w:bCs/>
          <w:color w:val="000000" w:themeColor="text1"/>
          <w:sz w:val="28"/>
          <w:szCs w:val="28"/>
        </w:rPr>
        <w:t>Conclusion</w:t>
      </w:r>
    </w:p>
    <w:p w14:paraId="06F45DAB" w14:textId="77777777" w:rsidR="005E64FE" w:rsidRPr="00F12975" w:rsidRDefault="005E64FE" w:rsidP="005E64FE">
      <w:pPr>
        <w:pStyle w:val="ListParagraph"/>
        <w:numPr>
          <w:ilvl w:val="0"/>
          <w:numId w:val="1"/>
        </w:numPr>
        <w:spacing w:before="240" w:line="360" w:lineRule="auto"/>
        <w:jc w:val="both"/>
        <w:rPr>
          <w:rFonts w:cstheme="minorHAnsi"/>
          <w:color w:val="000000" w:themeColor="text1"/>
          <w:sz w:val="28"/>
          <w:szCs w:val="28"/>
          <w:lang w:val="en-US"/>
        </w:rPr>
      </w:pPr>
      <w:r w:rsidRPr="00F12975">
        <w:rPr>
          <w:rFonts w:cstheme="minorHAnsi"/>
          <w:color w:val="000000" w:themeColor="text1"/>
          <w:sz w:val="28"/>
          <w:szCs w:val="28"/>
          <w:lang w:val="en-US"/>
        </w:rPr>
        <w:t xml:space="preserve"> </w:t>
      </w:r>
      <w:r w:rsidRPr="00F12975">
        <w:rPr>
          <w:rFonts w:cstheme="minorHAnsi"/>
          <w:color w:val="000000" w:themeColor="text1"/>
          <w:sz w:val="28"/>
          <w:szCs w:val="28"/>
        </w:rPr>
        <w:t>For the reasons set out above, the Court makes the following orders.</w:t>
      </w:r>
    </w:p>
    <w:p w14:paraId="67BA1F71" w14:textId="77777777" w:rsidR="005E64FE" w:rsidRPr="00F12975" w:rsidRDefault="005E64FE" w:rsidP="005E64FE">
      <w:pPr>
        <w:pStyle w:val="ListParagraph"/>
        <w:numPr>
          <w:ilvl w:val="0"/>
          <w:numId w:val="3"/>
        </w:numPr>
        <w:spacing w:before="240" w:line="360" w:lineRule="auto"/>
        <w:jc w:val="both"/>
        <w:rPr>
          <w:rFonts w:cstheme="minorHAnsi"/>
          <w:color w:val="000000" w:themeColor="text1"/>
          <w:sz w:val="28"/>
          <w:szCs w:val="28"/>
          <w:lang w:val="en-US"/>
        </w:rPr>
      </w:pPr>
      <w:r w:rsidRPr="00F12975">
        <w:rPr>
          <w:rFonts w:cstheme="minorHAnsi"/>
          <w:color w:val="000000" w:themeColor="text1"/>
          <w:sz w:val="28"/>
          <w:szCs w:val="28"/>
        </w:rPr>
        <w:t>The Petition dated 31</w:t>
      </w:r>
      <w:r w:rsidRPr="00F12975">
        <w:rPr>
          <w:rFonts w:cstheme="minorHAnsi"/>
          <w:color w:val="000000" w:themeColor="text1"/>
          <w:sz w:val="28"/>
          <w:szCs w:val="28"/>
          <w:vertAlign w:val="superscript"/>
        </w:rPr>
        <w:t>st</w:t>
      </w:r>
      <w:r w:rsidRPr="00F12975">
        <w:rPr>
          <w:rFonts w:cstheme="minorHAnsi"/>
          <w:color w:val="000000" w:themeColor="text1"/>
          <w:sz w:val="28"/>
          <w:szCs w:val="28"/>
        </w:rPr>
        <w:t xml:space="preserve"> March 2025 is dismissed.</w:t>
      </w:r>
    </w:p>
    <w:p w14:paraId="6A552656" w14:textId="317B023B" w:rsidR="005E64FE" w:rsidRPr="001B2641" w:rsidRDefault="005E64FE" w:rsidP="005E64FE">
      <w:pPr>
        <w:pStyle w:val="ListParagraph"/>
        <w:numPr>
          <w:ilvl w:val="0"/>
          <w:numId w:val="3"/>
        </w:numPr>
        <w:spacing w:before="240" w:line="360" w:lineRule="auto"/>
        <w:jc w:val="both"/>
        <w:rPr>
          <w:rFonts w:cstheme="minorHAnsi"/>
          <w:color w:val="000000" w:themeColor="text1"/>
          <w:sz w:val="28"/>
          <w:szCs w:val="28"/>
          <w:lang w:val="en-US"/>
        </w:rPr>
      </w:pPr>
      <w:r w:rsidRPr="00F12975">
        <w:rPr>
          <w:rFonts w:cstheme="minorHAnsi"/>
          <w:color w:val="000000" w:themeColor="text1"/>
          <w:sz w:val="28"/>
          <w:szCs w:val="28"/>
        </w:rPr>
        <w:t>There shall be no order as to costs.</w:t>
      </w:r>
    </w:p>
    <w:p w14:paraId="57116846" w14:textId="0D0DF023" w:rsidR="001B2641" w:rsidRPr="00F12975" w:rsidRDefault="001B2641" w:rsidP="005E64FE">
      <w:pPr>
        <w:pStyle w:val="ListParagraph"/>
        <w:numPr>
          <w:ilvl w:val="0"/>
          <w:numId w:val="3"/>
        </w:numPr>
        <w:spacing w:before="240" w:line="360" w:lineRule="auto"/>
        <w:jc w:val="both"/>
        <w:rPr>
          <w:rFonts w:cstheme="minorHAnsi"/>
          <w:color w:val="000000" w:themeColor="text1"/>
          <w:sz w:val="28"/>
          <w:szCs w:val="28"/>
          <w:lang w:val="en-US"/>
        </w:rPr>
      </w:pPr>
      <w:r>
        <w:rPr>
          <w:rFonts w:cstheme="minorHAnsi"/>
          <w:color w:val="000000" w:themeColor="text1"/>
          <w:sz w:val="28"/>
          <w:szCs w:val="28"/>
        </w:rPr>
        <w:t>Orders accordingly. File closed accordingly.</w:t>
      </w:r>
    </w:p>
    <w:p w14:paraId="5FACADD9" w14:textId="77777777" w:rsidR="005E64FE" w:rsidRPr="00F12975" w:rsidRDefault="005E64FE" w:rsidP="005E64FE">
      <w:pPr>
        <w:spacing w:line="360" w:lineRule="auto"/>
        <w:jc w:val="both"/>
        <w:rPr>
          <w:rFonts w:cstheme="minorHAnsi"/>
          <w:color w:val="000000" w:themeColor="text1"/>
          <w:sz w:val="28"/>
          <w:szCs w:val="28"/>
        </w:rPr>
      </w:pPr>
    </w:p>
    <w:p w14:paraId="79C19F6D" w14:textId="762043F3" w:rsidR="00193096" w:rsidRPr="005E64FE" w:rsidRDefault="005E64FE" w:rsidP="005E64FE">
      <w:pPr>
        <w:jc w:val="center"/>
        <w:rPr>
          <w:b/>
          <w:bCs/>
          <w:sz w:val="28"/>
          <w:szCs w:val="28"/>
        </w:rPr>
      </w:pPr>
      <w:r w:rsidRPr="005E64FE">
        <w:rPr>
          <w:b/>
          <w:bCs/>
          <w:sz w:val="28"/>
          <w:szCs w:val="28"/>
        </w:rPr>
        <w:t>DATED, SIGNED, AND DELIVERED VIRTUALLY THIS 19</w:t>
      </w:r>
      <w:r w:rsidRPr="005E64FE">
        <w:rPr>
          <w:b/>
          <w:bCs/>
          <w:sz w:val="28"/>
          <w:szCs w:val="28"/>
          <w:vertAlign w:val="superscript"/>
        </w:rPr>
        <w:t>TH</w:t>
      </w:r>
      <w:r w:rsidR="00D9148A">
        <w:rPr>
          <w:b/>
          <w:bCs/>
          <w:sz w:val="28"/>
          <w:szCs w:val="28"/>
        </w:rPr>
        <w:t xml:space="preserve"> DAY OF FEBRUARY 2026</w:t>
      </w:r>
      <w:bookmarkStart w:id="0" w:name="_GoBack"/>
      <w:bookmarkEnd w:id="0"/>
      <w:r w:rsidRPr="005E64FE">
        <w:rPr>
          <w:b/>
          <w:bCs/>
          <w:sz w:val="28"/>
          <w:szCs w:val="28"/>
        </w:rPr>
        <w:t>.</w:t>
      </w:r>
    </w:p>
    <w:p w14:paraId="27762569" w14:textId="77777777" w:rsidR="005E64FE" w:rsidRDefault="005E64FE" w:rsidP="005E64FE">
      <w:pPr>
        <w:jc w:val="center"/>
        <w:rPr>
          <w:b/>
          <w:bCs/>
          <w:sz w:val="28"/>
          <w:szCs w:val="28"/>
        </w:rPr>
      </w:pPr>
    </w:p>
    <w:p w14:paraId="71F6B440" w14:textId="77777777" w:rsidR="001B2641" w:rsidRDefault="001B2641" w:rsidP="00AD02A8">
      <w:pPr>
        <w:rPr>
          <w:b/>
          <w:bCs/>
          <w:sz w:val="28"/>
          <w:szCs w:val="28"/>
        </w:rPr>
      </w:pPr>
    </w:p>
    <w:p w14:paraId="353D8F82" w14:textId="77777777" w:rsidR="001B2641" w:rsidRDefault="001B2641" w:rsidP="005E64FE">
      <w:pPr>
        <w:jc w:val="center"/>
        <w:rPr>
          <w:b/>
          <w:bCs/>
          <w:sz w:val="28"/>
          <w:szCs w:val="28"/>
        </w:rPr>
      </w:pPr>
    </w:p>
    <w:p w14:paraId="3007F4EE" w14:textId="1D3E4A14" w:rsidR="005E64FE" w:rsidRPr="005E64FE" w:rsidRDefault="005E64FE" w:rsidP="005E64FE">
      <w:pPr>
        <w:jc w:val="center"/>
        <w:rPr>
          <w:b/>
          <w:bCs/>
          <w:sz w:val="28"/>
          <w:szCs w:val="28"/>
        </w:rPr>
      </w:pPr>
      <w:r w:rsidRPr="005E64FE">
        <w:rPr>
          <w:b/>
          <w:bCs/>
          <w:sz w:val="28"/>
          <w:szCs w:val="28"/>
        </w:rPr>
        <w:t>…………………………………</w:t>
      </w:r>
      <w:r w:rsidR="00AD02A8">
        <w:rPr>
          <w:b/>
          <w:bCs/>
          <w:sz w:val="28"/>
          <w:szCs w:val="28"/>
        </w:rPr>
        <w:t>……………….</w:t>
      </w:r>
    </w:p>
    <w:p w14:paraId="043D4653" w14:textId="27932D36" w:rsidR="005E64FE" w:rsidRPr="005E64FE" w:rsidRDefault="005E64FE" w:rsidP="005E64FE">
      <w:pPr>
        <w:jc w:val="center"/>
        <w:rPr>
          <w:b/>
          <w:bCs/>
          <w:sz w:val="28"/>
          <w:szCs w:val="28"/>
        </w:rPr>
      </w:pPr>
      <w:r w:rsidRPr="005E64FE">
        <w:rPr>
          <w:b/>
          <w:bCs/>
          <w:sz w:val="28"/>
          <w:szCs w:val="28"/>
        </w:rPr>
        <w:t>BAHATI MWAMUYE</w:t>
      </w:r>
      <w:r w:rsidR="00B62001">
        <w:rPr>
          <w:b/>
          <w:bCs/>
          <w:sz w:val="28"/>
          <w:szCs w:val="28"/>
        </w:rPr>
        <w:t xml:space="preserve"> MBS </w:t>
      </w:r>
    </w:p>
    <w:p w14:paraId="5A5F5DF0" w14:textId="6E4ADEB9" w:rsidR="005E64FE" w:rsidRDefault="005E64FE" w:rsidP="005E64FE">
      <w:pPr>
        <w:jc w:val="center"/>
        <w:rPr>
          <w:b/>
          <w:bCs/>
          <w:sz w:val="28"/>
          <w:szCs w:val="28"/>
        </w:rPr>
      </w:pPr>
      <w:proofErr w:type="gramStart"/>
      <w:r w:rsidRPr="005E64FE">
        <w:rPr>
          <w:b/>
          <w:bCs/>
          <w:sz w:val="28"/>
          <w:szCs w:val="28"/>
        </w:rPr>
        <w:t>JUDGE.</w:t>
      </w:r>
      <w:proofErr w:type="gramEnd"/>
    </w:p>
    <w:p w14:paraId="572E0B61" w14:textId="77777777" w:rsidR="00B62001" w:rsidRDefault="00B62001" w:rsidP="005E64FE">
      <w:pPr>
        <w:jc w:val="center"/>
        <w:rPr>
          <w:b/>
          <w:bCs/>
          <w:sz w:val="28"/>
          <w:szCs w:val="28"/>
        </w:rPr>
      </w:pPr>
    </w:p>
    <w:p w14:paraId="2C1CBDE1" w14:textId="7960D1E8" w:rsidR="00B62001" w:rsidRPr="00A16AF6" w:rsidRDefault="00B62001" w:rsidP="00A16AF6">
      <w:pPr>
        <w:spacing w:line="360" w:lineRule="auto"/>
        <w:jc w:val="both"/>
        <w:rPr>
          <w:sz w:val="28"/>
          <w:szCs w:val="28"/>
          <w:u w:val="single"/>
        </w:rPr>
      </w:pPr>
      <w:r w:rsidRPr="00A16AF6">
        <w:rPr>
          <w:sz w:val="28"/>
          <w:szCs w:val="28"/>
          <w:u w:val="single"/>
        </w:rPr>
        <w:t xml:space="preserve">In the presence </w:t>
      </w:r>
      <w:proofErr w:type="gramStart"/>
      <w:r w:rsidRPr="00A16AF6">
        <w:rPr>
          <w:sz w:val="28"/>
          <w:szCs w:val="28"/>
          <w:u w:val="single"/>
        </w:rPr>
        <w:t>of :</w:t>
      </w:r>
      <w:proofErr w:type="gramEnd"/>
      <w:r w:rsidRPr="00A16AF6">
        <w:rPr>
          <w:sz w:val="28"/>
          <w:szCs w:val="28"/>
          <w:u w:val="single"/>
        </w:rPr>
        <w:t xml:space="preserve"> </w:t>
      </w:r>
    </w:p>
    <w:p w14:paraId="4933302C" w14:textId="68ABD090" w:rsidR="00B62001" w:rsidRPr="00A16AF6" w:rsidRDefault="008F1C36" w:rsidP="00A16AF6">
      <w:pPr>
        <w:spacing w:line="360" w:lineRule="auto"/>
        <w:jc w:val="both"/>
        <w:rPr>
          <w:sz w:val="28"/>
          <w:szCs w:val="28"/>
        </w:rPr>
      </w:pPr>
      <w:r w:rsidRPr="00A16AF6">
        <w:rPr>
          <w:sz w:val="28"/>
          <w:szCs w:val="28"/>
        </w:rPr>
        <w:t xml:space="preserve">Petitioner in person </w:t>
      </w:r>
      <w:r w:rsidR="007E5164" w:rsidRPr="00A16AF6">
        <w:rPr>
          <w:sz w:val="28"/>
          <w:szCs w:val="28"/>
        </w:rPr>
        <w:t xml:space="preserve">at </w:t>
      </w:r>
      <w:proofErr w:type="spellStart"/>
      <w:r w:rsidR="007E5164" w:rsidRPr="00A16AF6">
        <w:rPr>
          <w:sz w:val="28"/>
          <w:szCs w:val="28"/>
        </w:rPr>
        <w:t>Kamiti</w:t>
      </w:r>
      <w:proofErr w:type="spellEnd"/>
      <w:r w:rsidR="007E5164" w:rsidRPr="00A16AF6">
        <w:rPr>
          <w:sz w:val="28"/>
          <w:szCs w:val="28"/>
        </w:rPr>
        <w:t xml:space="preserve"> Maximum </w:t>
      </w:r>
      <w:proofErr w:type="gramStart"/>
      <w:r w:rsidR="007E5164" w:rsidRPr="00A16AF6">
        <w:rPr>
          <w:sz w:val="28"/>
          <w:szCs w:val="28"/>
        </w:rPr>
        <w:t xml:space="preserve">– </w:t>
      </w:r>
      <w:r w:rsidR="00C01395">
        <w:rPr>
          <w:sz w:val="28"/>
          <w:szCs w:val="28"/>
        </w:rPr>
        <w:t xml:space="preserve"> Mr</w:t>
      </w:r>
      <w:proofErr w:type="gramEnd"/>
      <w:r w:rsidR="00C01395">
        <w:rPr>
          <w:sz w:val="28"/>
          <w:szCs w:val="28"/>
        </w:rPr>
        <w:t xml:space="preserve">. </w:t>
      </w:r>
      <w:proofErr w:type="spellStart"/>
      <w:r w:rsidR="007E5164" w:rsidRPr="00A16AF6">
        <w:rPr>
          <w:sz w:val="28"/>
          <w:szCs w:val="28"/>
        </w:rPr>
        <w:t>Aggrey</w:t>
      </w:r>
      <w:proofErr w:type="spellEnd"/>
      <w:r w:rsidR="007E5164" w:rsidRPr="00A16AF6">
        <w:rPr>
          <w:sz w:val="28"/>
          <w:szCs w:val="28"/>
        </w:rPr>
        <w:t xml:space="preserve"> </w:t>
      </w:r>
      <w:proofErr w:type="spellStart"/>
      <w:r w:rsidR="007E5164" w:rsidRPr="00A16AF6">
        <w:rPr>
          <w:sz w:val="28"/>
          <w:szCs w:val="28"/>
        </w:rPr>
        <w:t>Mang’ong’o</w:t>
      </w:r>
      <w:proofErr w:type="spellEnd"/>
    </w:p>
    <w:p w14:paraId="17041FDD" w14:textId="5F858F71" w:rsidR="002C3882" w:rsidRDefault="002C3882" w:rsidP="00A16AF6">
      <w:pPr>
        <w:spacing w:line="360" w:lineRule="auto"/>
        <w:jc w:val="both"/>
        <w:rPr>
          <w:sz w:val="28"/>
          <w:szCs w:val="28"/>
        </w:rPr>
      </w:pPr>
      <w:r w:rsidRPr="00A16AF6">
        <w:rPr>
          <w:sz w:val="28"/>
          <w:szCs w:val="28"/>
        </w:rPr>
        <w:t>Counsel for the 2</w:t>
      </w:r>
      <w:r w:rsidRPr="00A16AF6">
        <w:rPr>
          <w:sz w:val="28"/>
          <w:szCs w:val="28"/>
          <w:vertAlign w:val="superscript"/>
        </w:rPr>
        <w:t>nd</w:t>
      </w:r>
      <w:r w:rsidRPr="00A16AF6">
        <w:rPr>
          <w:sz w:val="28"/>
          <w:szCs w:val="28"/>
        </w:rPr>
        <w:t xml:space="preserve"> Respondent</w:t>
      </w:r>
      <w:r w:rsidR="00DE04A0" w:rsidRPr="00A16AF6">
        <w:rPr>
          <w:sz w:val="28"/>
          <w:szCs w:val="28"/>
        </w:rPr>
        <w:t xml:space="preserve">- Mr. </w:t>
      </w:r>
      <w:proofErr w:type="spellStart"/>
      <w:r w:rsidR="00DE04A0" w:rsidRPr="00A16AF6">
        <w:rPr>
          <w:sz w:val="28"/>
          <w:szCs w:val="28"/>
        </w:rPr>
        <w:t>Mulati</w:t>
      </w:r>
      <w:proofErr w:type="spellEnd"/>
      <w:r w:rsidRPr="00A16AF6">
        <w:rPr>
          <w:sz w:val="28"/>
          <w:szCs w:val="28"/>
        </w:rPr>
        <w:t xml:space="preserve">  </w:t>
      </w:r>
    </w:p>
    <w:p w14:paraId="4D41AE9A" w14:textId="442A4851" w:rsidR="00C01395" w:rsidRPr="00A16AF6" w:rsidRDefault="00C01395" w:rsidP="00A16AF6">
      <w:pPr>
        <w:spacing w:line="360" w:lineRule="auto"/>
        <w:jc w:val="both"/>
        <w:rPr>
          <w:sz w:val="28"/>
          <w:szCs w:val="28"/>
        </w:rPr>
      </w:pPr>
      <w:r>
        <w:rPr>
          <w:sz w:val="28"/>
          <w:szCs w:val="28"/>
        </w:rPr>
        <w:lastRenderedPageBreak/>
        <w:t xml:space="preserve">Court Assistant – Ms. </w:t>
      </w:r>
      <w:proofErr w:type="spellStart"/>
      <w:r>
        <w:rPr>
          <w:sz w:val="28"/>
          <w:szCs w:val="28"/>
        </w:rPr>
        <w:t>Lwambia</w:t>
      </w:r>
      <w:proofErr w:type="spellEnd"/>
    </w:p>
    <w:sectPr w:rsidR="00C01395" w:rsidRPr="00A16AF6" w:rsidSect="0080713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2EAE5" w14:textId="77777777" w:rsidR="002949EC" w:rsidRDefault="002949EC">
      <w:r>
        <w:separator/>
      </w:r>
    </w:p>
  </w:endnote>
  <w:endnote w:type="continuationSeparator" w:id="0">
    <w:p w14:paraId="2206258B" w14:textId="77777777" w:rsidR="002949EC" w:rsidRDefault="0029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17250636"/>
      <w:docPartObj>
        <w:docPartGallery w:val="Page Numbers (Bottom of Page)"/>
        <w:docPartUnique/>
      </w:docPartObj>
    </w:sdtPr>
    <w:sdtEndPr>
      <w:rPr>
        <w:rStyle w:val="PageNumber"/>
      </w:rPr>
    </w:sdtEndPr>
    <w:sdtContent>
      <w:p w14:paraId="7E963A4A" w14:textId="77777777" w:rsidR="005E64FE" w:rsidRDefault="005E64FE" w:rsidP="00465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472EA1" w14:textId="77777777" w:rsidR="005E64FE" w:rsidRDefault="005E6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560176"/>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993098752"/>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978295113"/>
                      <w:docPartObj>
                        <w:docPartGallery w:val="Page Numbers (Bottom of Page)"/>
                        <w:docPartUnique/>
                      </w:docPartObj>
                    </w:sdtPr>
                    <w:sdtEndPr/>
                    <w:sdtContent>
                      <w:sdt>
                        <w:sdtPr>
                          <w:id w:val="1384067287"/>
                          <w:docPartObj>
                            <w:docPartGallery w:val="Page Numbers (Top of Page)"/>
                            <w:docPartUnique/>
                          </w:docPartObj>
                        </w:sdtPr>
                        <w:sdtEndPr/>
                        <w:sdtContent>
                          <w:sdt>
                            <w:sdtPr>
                              <w:id w:val="1378509463"/>
                              <w:docPartObj>
                                <w:docPartGallery w:val="Page Numbers (Bottom of Page)"/>
                                <w:docPartUnique/>
                              </w:docPartObj>
                            </w:sdtPr>
                            <w:sdtEndPr/>
                            <w:sdtContent>
                              <w:sdt>
                                <w:sdtPr>
                                  <w:id w:val="2130504376"/>
                                  <w:docPartObj>
                                    <w:docPartGallery w:val="Page Numbers (Top of Page)"/>
                                    <w:docPartUnique/>
                                  </w:docPartObj>
                                </w:sdtPr>
                                <w:sdtEndPr/>
                                <w:sdtContent>
                                  <w:sdt>
                                    <w:sdtPr>
                                      <w:id w:val="-2066487016"/>
                                      <w:docPartObj>
                                        <w:docPartGallery w:val="Page Numbers (Top of Page)"/>
                                        <w:docPartUnique/>
                                      </w:docPartObj>
                                    </w:sdtPr>
                                    <w:sdtEndPr/>
                                    <w:sdtContent>
                                      <w:p w14:paraId="2B21D1ED" w14:textId="075F66B9" w:rsidR="005E64FE" w:rsidRDefault="00FF2E2E">
                                        <w:pPr>
                                          <w:pStyle w:val="Footer"/>
                                        </w:pPr>
                                        <w:r>
                                          <w:rPr>
                                            <w:rFonts w:asciiTheme="majorHAnsi" w:hAnsiTheme="majorHAnsi"/>
                                          </w:rPr>
                                          <w:t>HCCHR</w:t>
                                        </w:r>
                                        <w:sdt>
                                          <w:sdtPr>
                                            <w:rPr>
                                              <w:rFonts w:asciiTheme="majorHAnsi" w:hAnsiTheme="majorHAnsi"/>
                                              <w:color w:val="7F7F7F" w:themeColor="background1" w:themeShade="7F"/>
                                              <w:spacing w:val="60"/>
                                            </w:rPr>
                                            <w:id w:val="1988201261"/>
                                            <w:docPartObj>
                                              <w:docPartGallery w:val="Page Numbers (Bottom of Page)"/>
                                              <w:docPartUnique/>
                                            </w:docPartObj>
                                          </w:sdtPr>
                                          <w:sdtEndPr/>
                                          <w:sdtContent>
                                            <w:r>
                                              <w:rPr>
                                                <w:rFonts w:asciiTheme="majorHAnsi" w:hAnsiTheme="majorHAnsi"/>
                                              </w:rPr>
                                              <w:t>PET. NO.</w:t>
                                            </w:r>
                                            <w:r>
                                              <w:rPr>
                                                <w:rFonts w:asciiTheme="majorHAnsi" w:hAnsiTheme="majorHAnsi"/>
                                                <w:spacing w:val="-1"/>
                                              </w:rPr>
                                              <w:t xml:space="preserve"> E283 </w:t>
                                            </w:r>
                                            <w:r>
                                              <w:rPr>
                                                <w:rFonts w:asciiTheme="majorHAnsi" w:hAnsiTheme="majorHAnsi"/>
                                              </w:rPr>
                                              <w:t>OF</w:t>
                                            </w:r>
                                            <w:r>
                                              <w:rPr>
                                                <w:rFonts w:asciiTheme="majorHAnsi" w:hAnsiTheme="majorHAnsi"/>
                                                <w:spacing w:val="-5"/>
                                              </w:rPr>
                                              <w:t xml:space="preserve"> </w:t>
                                            </w:r>
                                            <w:r>
                                              <w:rPr>
                                                <w:rFonts w:asciiTheme="majorHAnsi" w:hAnsiTheme="majorHAnsi"/>
                                                <w:spacing w:val="-4"/>
                                              </w:rPr>
                                              <w:t>2025</w:t>
                                            </w:r>
                                            <w:r>
                                              <w:rPr>
                                                <w:rFonts w:asciiTheme="majorHAnsi" w:hAnsiTheme="majorHAnsi"/>
                                              </w:rPr>
                                              <w:tab/>
                                              <w:t>JDT</w:t>
                                            </w:r>
                                          </w:sdtContent>
                                        </w:sdt>
                                        <w:r>
                                          <w:rPr>
                                            <w:rFonts w:asciiTheme="majorHAnsi" w:hAnsiTheme="majorHAnsi"/>
                                            <w:color w:val="7F7F7F" w:themeColor="background1" w:themeShade="7F"/>
                                            <w:spacing w:val="60"/>
                                          </w:rPr>
                                          <w:tab/>
                                        </w:r>
                                        <w:r>
                                          <w:rPr>
                                            <w:rFonts w:asciiTheme="majorHAnsi" w:hAnsiTheme="majorHAnsi"/>
                                            <w:color w:val="8496B0" w:themeColor="text2" w:themeTint="99"/>
                                            <w:spacing w:val="60"/>
                                          </w:rPr>
                                          <w:t>Page</w:t>
                                        </w:r>
                                        <w:r>
                                          <w:rPr>
                                            <w:rFonts w:asciiTheme="majorHAnsi" w:hAnsiTheme="majorHAnsi"/>
                                            <w:color w:val="8496B0" w:themeColor="text2" w:themeTint="99"/>
                                          </w:rPr>
                                          <w:t xml:space="preserve"> </w:t>
                                        </w:r>
                                        <w:r>
                                          <w:rPr>
                                            <w:rFonts w:asciiTheme="majorHAnsi" w:hAnsiTheme="majorHAnsi"/>
                                            <w:color w:val="323E4F" w:themeColor="text2" w:themeShade="BF"/>
                                          </w:rPr>
                                          <w:fldChar w:fldCharType="begin"/>
                                        </w:r>
                                        <w:r>
                                          <w:rPr>
                                            <w:rFonts w:asciiTheme="majorHAnsi" w:hAnsiTheme="majorHAnsi"/>
                                            <w:color w:val="323E4F" w:themeColor="text2" w:themeShade="BF"/>
                                          </w:rPr>
                                          <w:instrText xml:space="preserve"> PAGE   \* MERGEFORMAT </w:instrText>
                                        </w:r>
                                        <w:r>
                                          <w:rPr>
                                            <w:rFonts w:asciiTheme="majorHAnsi" w:hAnsiTheme="majorHAnsi"/>
                                            <w:color w:val="323E4F" w:themeColor="text2" w:themeShade="BF"/>
                                          </w:rPr>
                                          <w:fldChar w:fldCharType="separate"/>
                                        </w:r>
                                        <w:r w:rsidR="00D9148A">
                                          <w:rPr>
                                            <w:rFonts w:asciiTheme="majorHAnsi" w:hAnsiTheme="majorHAnsi"/>
                                            <w:noProof/>
                                            <w:color w:val="323E4F" w:themeColor="text2" w:themeShade="BF"/>
                                          </w:rPr>
                                          <w:t>9</w:t>
                                        </w:r>
                                        <w:r>
                                          <w:rPr>
                                            <w:rFonts w:asciiTheme="majorHAnsi" w:hAnsiTheme="majorHAnsi"/>
                                            <w:color w:val="323E4F" w:themeColor="text2" w:themeShade="BF"/>
                                          </w:rPr>
                                          <w:fldChar w:fldCharType="end"/>
                                        </w:r>
                                        <w:r>
                                          <w:rPr>
                                            <w:rFonts w:asciiTheme="majorHAnsi" w:hAnsiTheme="majorHAnsi"/>
                                            <w:color w:val="323E4F" w:themeColor="text2" w:themeShade="BF"/>
                                          </w:rPr>
                                          <w:t xml:space="preserve"> | </w:t>
                                        </w:r>
                                        <w:r>
                                          <w:rPr>
                                            <w:rFonts w:asciiTheme="majorHAnsi" w:hAnsiTheme="majorHAnsi"/>
                                            <w:color w:val="323E4F" w:themeColor="text2" w:themeShade="BF"/>
                                          </w:rPr>
                                          <w:fldChar w:fldCharType="begin"/>
                                        </w:r>
                                        <w:r>
                                          <w:rPr>
                                            <w:rFonts w:asciiTheme="majorHAnsi" w:hAnsiTheme="majorHAnsi"/>
                                            <w:color w:val="323E4F" w:themeColor="text2" w:themeShade="BF"/>
                                          </w:rPr>
                                          <w:instrText xml:space="preserve"> NUMPAGES  \* Arabic  \* MERGEFORMAT </w:instrText>
                                        </w:r>
                                        <w:r>
                                          <w:rPr>
                                            <w:rFonts w:asciiTheme="majorHAnsi" w:hAnsiTheme="majorHAnsi"/>
                                            <w:color w:val="323E4F" w:themeColor="text2" w:themeShade="BF"/>
                                          </w:rPr>
                                          <w:fldChar w:fldCharType="separate"/>
                                        </w:r>
                                        <w:r w:rsidR="00D9148A">
                                          <w:rPr>
                                            <w:rFonts w:asciiTheme="majorHAnsi" w:hAnsiTheme="majorHAnsi"/>
                                            <w:noProof/>
                                            <w:color w:val="323E4F" w:themeColor="text2" w:themeShade="BF"/>
                                          </w:rPr>
                                          <w:t>10</w:t>
                                        </w:r>
                                        <w:r>
                                          <w:rPr>
                                            <w:rFonts w:asciiTheme="majorHAnsi" w:hAnsiTheme="majorHAnsi"/>
                                            <w:color w:val="323E4F" w:themeColor="text2" w:themeShade="BF"/>
                                          </w:rPr>
                                          <w:fldChar w:fldCharType="end"/>
                                        </w:r>
                                      </w:p>
                                    </w:sdtContent>
                                  </w:sdt>
                                </w:sdtContent>
                              </w:sdt>
                            </w:sdtContent>
                          </w:sdt>
                        </w:sdtContent>
                      </w:sdt>
                    </w:sdtContent>
                  </w:sdt>
                </w:sdtContent>
              </w:sdt>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EE9E8" w14:textId="77777777" w:rsidR="002949EC" w:rsidRDefault="002949EC">
      <w:r>
        <w:separator/>
      </w:r>
    </w:p>
  </w:footnote>
  <w:footnote w:type="continuationSeparator" w:id="0">
    <w:p w14:paraId="4715F33C" w14:textId="77777777" w:rsidR="002949EC" w:rsidRDefault="00294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25549"/>
    <w:multiLevelType w:val="hybridMultilevel"/>
    <w:tmpl w:val="72F0E976"/>
    <w:lvl w:ilvl="0" w:tplc="8C74D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4E4A98"/>
    <w:multiLevelType w:val="hybridMultilevel"/>
    <w:tmpl w:val="A0BE3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220341"/>
    <w:multiLevelType w:val="hybridMultilevel"/>
    <w:tmpl w:val="5A2CC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FE"/>
    <w:rsid w:val="00075CFA"/>
    <w:rsid w:val="00085354"/>
    <w:rsid w:val="00095046"/>
    <w:rsid w:val="000C0F1E"/>
    <w:rsid w:val="000F0FE4"/>
    <w:rsid w:val="001246C7"/>
    <w:rsid w:val="00154A51"/>
    <w:rsid w:val="0018074F"/>
    <w:rsid w:val="001839F5"/>
    <w:rsid w:val="00193096"/>
    <w:rsid w:val="001B2641"/>
    <w:rsid w:val="002949EC"/>
    <w:rsid w:val="002C3882"/>
    <w:rsid w:val="002D3E5A"/>
    <w:rsid w:val="002E2548"/>
    <w:rsid w:val="004D7645"/>
    <w:rsid w:val="005A53F7"/>
    <w:rsid w:val="005E64FE"/>
    <w:rsid w:val="006C3143"/>
    <w:rsid w:val="006E17C2"/>
    <w:rsid w:val="007045C6"/>
    <w:rsid w:val="00732B42"/>
    <w:rsid w:val="007C6715"/>
    <w:rsid w:val="007E00B7"/>
    <w:rsid w:val="007E5164"/>
    <w:rsid w:val="008017D7"/>
    <w:rsid w:val="008021A6"/>
    <w:rsid w:val="00807131"/>
    <w:rsid w:val="00851A05"/>
    <w:rsid w:val="00860804"/>
    <w:rsid w:val="00894704"/>
    <w:rsid w:val="008F1C36"/>
    <w:rsid w:val="009720E3"/>
    <w:rsid w:val="00A1424C"/>
    <w:rsid w:val="00A16AF6"/>
    <w:rsid w:val="00AD02A8"/>
    <w:rsid w:val="00AE179D"/>
    <w:rsid w:val="00B06E7B"/>
    <w:rsid w:val="00B62001"/>
    <w:rsid w:val="00B73C5E"/>
    <w:rsid w:val="00C01395"/>
    <w:rsid w:val="00C670BD"/>
    <w:rsid w:val="00CA6D82"/>
    <w:rsid w:val="00CD08D9"/>
    <w:rsid w:val="00CE4931"/>
    <w:rsid w:val="00D64AFC"/>
    <w:rsid w:val="00D66751"/>
    <w:rsid w:val="00D9148A"/>
    <w:rsid w:val="00DE04A0"/>
    <w:rsid w:val="00F30D00"/>
    <w:rsid w:val="00F47E20"/>
    <w:rsid w:val="00FC6162"/>
    <w:rsid w:val="00FD29F4"/>
    <w:rsid w:val="00FE50B3"/>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B96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F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4FE"/>
    <w:pPr>
      <w:ind w:left="720"/>
      <w:contextualSpacing/>
    </w:pPr>
  </w:style>
  <w:style w:type="paragraph" w:styleId="Footer">
    <w:name w:val="footer"/>
    <w:basedOn w:val="Normal"/>
    <w:link w:val="FooterChar"/>
    <w:uiPriority w:val="99"/>
    <w:unhideWhenUsed/>
    <w:rsid w:val="005E64FE"/>
    <w:pPr>
      <w:tabs>
        <w:tab w:val="center" w:pos="4680"/>
        <w:tab w:val="right" w:pos="9360"/>
      </w:tabs>
    </w:pPr>
  </w:style>
  <w:style w:type="character" w:customStyle="1" w:styleId="FooterChar">
    <w:name w:val="Footer Char"/>
    <w:basedOn w:val="DefaultParagraphFont"/>
    <w:link w:val="Footer"/>
    <w:uiPriority w:val="99"/>
    <w:rsid w:val="005E64FE"/>
    <w:rPr>
      <w:lang w:val="en-GB"/>
    </w:rPr>
  </w:style>
  <w:style w:type="character" w:styleId="PageNumber">
    <w:name w:val="page number"/>
    <w:basedOn w:val="DefaultParagraphFont"/>
    <w:uiPriority w:val="99"/>
    <w:semiHidden/>
    <w:unhideWhenUsed/>
    <w:rsid w:val="005E64FE"/>
  </w:style>
  <w:style w:type="paragraph" w:styleId="Header">
    <w:name w:val="header"/>
    <w:basedOn w:val="Normal"/>
    <w:link w:val="HeaderChar"/>
    <w:uiPriority w:val="99"/>
    <w:unhideWhenUsed/>
    <w:rsid w:val="00732B42"/>
    <w:pPr>
      <w:tabs>
        <w:tab w:val="center" w:pos="4513"/>
        <w:tab w:val="right" w:pos="9026"/>
      </w:tabs>
    </w:pPr>
  </w:style>
  <w:style w:type="character" w:customStyle="1" w:styleId="HeaderChar">
    <w:name w:val="Header Char"/>
    <w:basedOn w:val="DefaultParagraphFont"/>
    <w:link w:val="Header"/>
    <w:uiPriority w:val="99"/>
    <w:rsid w:val="00732B4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F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4FE"/>
    <w:pPr>
      <w:ind w:left="720"/>
      <w:contextualSpacing/>
    </w:pPr>
  </w:style>
  <w:style w:type="paragraph" w:styleId="Footer">
    <w:name w:val="footer"/>
    <w:basedOn w:val="Normal"/>
    <w:link w:val="FooterChar"/>
    <w:uiPriority w:val="99"/>
    <w:unhideWhenUsed/>
    <w:rsid w:val="005E64FE"/>
    <w:pPr>
      <w:tabs>
        <w:tab w:val="center" w:pos="4680"/>
        <w:tab w:val="right" w:pos="9360"/>
      </w:tabs>
    </w:pPr>
  </w:style>
  <w:style w:type="character" w:customStyle="1" w:styleId="FooterChar">
    <w:name w:val="Footer Char"/>
    <w:basedOn w:val="DefaultParagraphFont"/>
    <w:link w:val="Footer"/>
    <w:uiPriority w:val="99"/>
    <w:rsid w:val="005E64FE"/>
    <w:rPr>
      <w:lang w:val="en-GB"/>
    </w:rPr>
  </w:style>
  <w:style w:type="character" w:styleId="PageNumber">
    <w:name w:val="page number"/>
    <w:basedOn w:val="DefaultParagraphFont"/>
    <w:uiPriority w:val="99"/>
    <w:semiHidden/>
    <w:unhideWhenUsed/>
    <w:rsid w:val="005E64FE"/>
  </w:style>
  <w:style w:type="paragraph" w:styleId="Header">
    <w:name w:val="header"/>
    <w:basedOn w:val="Normal"/>
    <w:link w:val="HeaderChar"/>
    <w:uiPriority w:val="99"/>
    <w:unhideWhenUsed/>
    <w:rsid w:val="00732B42"/>
    <w:pPr>
      <w:tabs>
        <w:tab w:val="center" w:pos="4513"/>
        <w:tab w:val="right" w:pos="9026"/>
      </w:tabs>
    </w:pPr>
  </w:style>
  <w:style w:type="character" w:customStyle="1" w:styleId="HeaderChar">
    <w:name w:val="Header Char"/>
    <w:basedOn w:val="DefaultParagraphFont"/>
    <w:link w:val="Header"/>
    <w:uiPriority w:val="99"/>
    <w:rsid w:val="00732B4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mukhwana</dc:creator>
  <cp:keywords/>
  <dc:description/>
  <cp:lastModifiedBy>Esther Adero</cp:lastModifiedBy>
  <cp:revision>3</cp:revision>
  <cp:lastPrinted>2026-03-05T15:23:00Z</cp:lastPrinted>
  <dcterms:created xsi:type="dcterms:W3CDTF">2026-03-06T05:39:00Z</dcterms:created>
  <dcterms:modified xsi:type="dcterms:W3CDTF">2026-03-09T14:21:00Z</dcterms:modified>
</cp:coreProperties>
</file>