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FF52F" w14:textId="49469059" w:rsidR="00B52F50" w:rsidRDefault="00B52F50" w:rsidP="00DA606A">
      <w:pPr>
        <w:spacing w:after="0" w:line="276" w:lineRule="auto"/>
        <w:ind w:right="-720"/>
        <w:rPr>
          <w:rFonts w:ascii="Rockwell" w:eastAsia="Times New Roman" w:hAnsi="Rockwell" w:cs="Times New Roman"/>
          <w:b/>
          <w:sz w:val="30"/>
          <w:szCs w:val="30"/>
          <w:u w:val="single"/>
          <w:lang w:val="en-US"/>
        </w:rPr>
      </w:pPr>
      <w:bookmarkStart w:id="0" w:name="_GoBack"/>
      <w:bookmarkEnd w:id="0"/>
    </w:p>
    <w:p w14:paraId="35885E8D" w14:textId="2175703F" w:rsidR="009F48BF" w:rsidRPr="00855F03" w:rsidRDefault="009F48BF" w:rsidP="00DB0EE7">
      <w:pPr>
        <w:spacing w:after="0" w:line="276" w:lineRule="auto"/>
        <w:ind w:right="-720"/>
        <w:jc w:val="center"/>
        <w:rPr>
          <w:rFonts w:ascii="Rockwell" w:eastAsia="Times New Roman" w:hAnsi="Rockwell" w:cs="Times New Roman"/>
          <w:b/>
          <w:sz w:val="30"/>
          <w:szCs w:val="30"/>
          <w:u w:val="single"/>
          <w:lang w:val="en-US"/>
        </w:rPr>
      </w:pPr>
      <w:r w:rsidRPr="00855F03">
        <w:rPr>
          <w:rFonts w:ascii="Rockwell" w:eastAsia="Times New Roman" w:hAnsi="Rockwell" w:cs="Times New Roman"/>
          <w:b/>
          <w:sz w:val="30"/>
          <w:szCs w:val="30"/>
          <w:u w:val="single"/>
          <w:lang w:val="en-US"/>
        </w:rPr>
        <w:t>REPUBLIC OF KENYA</w:t>
      </w:r>
    </w:p>
    <w:p w14:paraId="58215FFE" w14:textId="4BDDE6BA" w:rsidR="009F48BF" w:rsidRPr="00855F03" w:rsidRDefault="009F48BF" w:rsidP="002C35D5">
      <w:pPr>
        <w:spacing w:after="0" w:line="276" w:lineRule="auto"/>
        <w:ind w:right="-720"/>
        <w:jc w:val="center"/>
        <w:rPr>
          <w:rFonts w:ascii="Rockwell" w:eastAsia="Times New Roman" w:hAnsi="Rockwell" w:cs="Times New Roman"/>
          <w:b/>
          <w:sz w:val="30"/>
          <w:szCs w:val="30"/>
          <w:u w:val="single"/>
          <w:lang w:val="en-US"/>
        </w:rPr>
      </w:pPr>
      <w:r w:rsidRPr="00855F03">
        <w:rPr>
          <w:rFonts w:ascii="Rockwell" w:eastAsia="Times New Roman" w:hAnsi="Rockwell" w:cs="Times New Roman"/>
          <w:b/>
          <w:sz w:val="30"/>
          <w:szCs w:val="30"/>
          <w:u w:val="single"/>
          <w:lang w:val="en-US"/>
        </w:rPr>
        <w:t>IN THE HIGH COURT OF KENYA AT MACHAKOS</w:t>
      </w:r>
    </w:p>
    <w:p w14:paraId="136C822C" w14:textId="4AD7BED0" w:rsidR="009F48BF" w:rsidRPr="00855F03" w:rsidRDefault="009F48BF" w:rsidP="00DB0EE7">
      <w:pPr>
        <w:spacing w:after="0" w:line="276" w:lineRule="auto"/>
        <w:ind w:right="-720"/>
        <w:jc w:val="center"/>
        <w:rPr>
          <w:rFonts w:ascii="Rockwell" w:eastAsia="Times New Roman" w:hAnsi="Rockwell" w:cs="Times New Roman"/>
          <w:b/>
          <w:sz w:val="30"/>
          <w:szCs w:val="30"/>
          <w:u w:val="single"/>
          <w:lang w:val="en-US"/>
        </w:rPr>
      </w:pPr>
      <w:r w:rsidRPr="00855F03">
        <w:rPr>
          <w:rFonts w:ascii="Rockwell" w:eastAsia="Times New Roman" w:hAnsi="Rockwell" w:cs="Times New Roman"/>
          <w:b/>
          <w:sz w:val="30"/>
          <w:szCs w:val="30"/>
          <w:u w:val="single"/>
          <w:lang w:val="en-US"/>
        </w:rPr>
        <w:t>CIVIL APPEAL NO. E</w:t>
      </w:r>
      <w:r w:rsidR="002C35D5">
        <w:rPr>
          <w:rFonts w:ascii="Rockwell" w:eastAsia="Times New Roman" w:hAnsi="Rockwell" w:cs="Times New Roman"/>
          <w:b/>
          <w:sz w:val="30"/>
          <w:szCs w:val="30"/>
          <w:u w:val="single"/>
          <w:lang w:val="en-US"/>
        </w:rPr>
        <w:t>194 OF 2024</w:t>
      </w:r>
    </w:p>
    <w:p w14:paraId="49401B0D" w14:textId="77777777" w:rsidR="00855F03" w:rsidRDefault="00855F03" w:rsidP="005A5241">
      <w:pPr>
        <w:spacing w:line="360" w:lineRule="auto"/>
        <w:rPr>
          <w:rFonts w:ascii="Rockwell" w:eastAsia="Times New Roman" w:hAnsi="Rockwell" w:cs="Times New Roman"/>
          <w:b/>
          <w:sz w:val="30"/>
          <w:szCs w:val="30"/>
          <w:lang w:val="en-US"/>
        </w:rPr>
      </w:pPr>
    </w:p>
    <w:p w14:paraId="30C9522F" w14:textId="071CB0BA" w:rsidR="00DA606A" w:rsidRPr="00855F03" w:rsidRDefault="002C35D5" w:rsidP="006953AC">
      <w:pPr>
        <w:spacing w:after="0" w:line="240" w:lineRule="auto"/>
        <w:rPr>
          <w:rFonts w:ascii="Rockwell" w:eastAsia="Times New Roman" w:hAnsi="Rockwell" w:cs="Times New Roman"/>
          <w:b/>
          <w:sz w:val="30"/>
          <w:szCs w:val="30"/>
          <w:lang w:val="en-US"/>
        </w:rPr>
      </w:pPr>
      <w:r>
        <w:rPr>
          <w:rFonts w:ascii="Rockwell" w:eastAsia="Times New Roman" w:hAnsi="Rockwell" w:cs="Times New Roman"/>
          <w:b/>
          <w:sz w:val="30"/>
          <w:szCs w:val="30"/>
          <w:lang w:val="en-US"/>
        </w:rPr>
        <w:t>GEORGE WILLIAM OMOSO</w:t>
      </w:r>
      <w:r w:rsidR="00B724D9">
        <w:rPr>
          <w:rFonts w:ascii="Rockwell" w:eastAsia="Times New Roman" w:hAnsi="Rockwell" w:cs="Times New Roman"/>
          <w:b/>
          <w:sz w:val="30"/>
          <w:szCs w:val="30"/>
          <w:lang w:val="en-US"/>
        </w:rPr>
        <w:t>.</w:t>
      </w:r>
      <w:r w:rsidR="000D019D" w:rsidRPr="00855F03">
        <w:rPr>
          <w:rFonts w:ascii="Rockwell" w:eastAsia="Times New Roman" w:hAnsi="Rockwell" w:cs="Times New Roman"/>
          <w:b/>
          <w:sz w:val="30"/>
          <w:szCs w:val="30"/>
          <w:lang w:val="en-US"/>
        </w:rPr>
        <w:t>…………………</w:t>
      </w:r>
      <w:r w:rsidR="00855F03">
        <w:rPr>
          <w:rFonts w:ascii="Rockwell" w:eastAsia="Times New Roman" w:hAnsi="Rockwell" w:cs="Times New Roman"/>
          <w:b/>
          <w:sz w:val="30"/>
          <w:szCs w:val="30"/>
          <w:lang w:val="en-US"/>
        </w:rPr>
        <w:t>…</w:t>
      </w:r>
      <w:r w:rsidR="00917A05">
        <w:rPr>
          <w:rFonts w:ascii="Rockwell" w:eastAsia="Times New Roman" w:hAnsi="Rockwell" w:cs="Times New Roman"/>
          <w:b/>
          <w:sz w:val="30"/>
          <w:szCs w:val="30"/>
          <w:lang w:val="en-US"/>
        </w:rPr>
        <w:t>….</w:t>
      </w:r>
      <w:r w:rsidR="00855F03">
        <w:rPr>
          <w:rFonts w:ascii="Rockwell" w:eastAsia="Times New Roman" w:hAnsi="Rockwell" w:cs="Times New Roman"/>
          <w:b/>
          <w:sz w:val="30"/>
          <w:szCs w:val="30"/>
          <w:lang w:val="en-US"/>
        </w:rPr>
        <w:t>…</w:t>
      </w:r>
      <w:r w:rsidR="00DA606A">
        <w:rPr>
          <w:rFonts w:ascii="Rockwell" w:eastAsia="Times New Roman" w:hAnsi="Rockwell" w:cs="Times New Roman"/>
          <w:b/>
          <w:sz w:val="30"/>
          <w:szCs w:val="30"/>
          <w:lang w:val="en-US"/>
        </w:rPr>
        <w:t>APPELLANT</w:t>
      </w:r>
    </w:p>
    <w:p w14:paraId="0D9FA2D0" w14:textId="77777777" w:rsidR="002C35D5" w:rsidRDefault="002C35D5" w:rsidP="00DB0EE7">
      <w:pPr>
        <w:spacing w:after="0" w:line="360" w:lineRule="auto"/>
        <w:jc w:val="center"/>
        <w:rPr>
          <w:rFonts w:ascii="Rockwell" w:eastAsia="Times New Roman" w:hAnsi="Rockwell" w:cs="Times New Roman"/>
          <w:b/>
          <w:sz w:val="30"/>
          <w:szCs w:val="30"/>
          <w:lang w:val="en-US"/>
        </w:rPr>
      </w:pPr>
    </w:p>
    <w:p w14:paraId="56350E25" w14:textId="77777777" w:rsidR="009F48BF" w:rsidRPr="00855F03" w:rsidRDefault="009F48BF" w:rsidP="00DB0EE7">
      <w:pPr>
        <w:spacing w:after="0" w:line="360" w:lineRule="auto"/>
        <w:jc w:val="center"/>
        <w:rPr>
          <w:rFonts w:ascii="Rockwell" w:eastAsia="Times New Roman" w:hAnsi="Rockwell" w:cs="Times New Roman"/>
          <w:b/>
          <w:sz w:val="30"/>
          <w:szCs w:val="30"/>
          <w:lang w:val="en-US"/>
        </w:rPr>
      </w:pPr>
      <w:r w:rsidRPr="00855F03">
        <w:rPr>
          <w:rFonts w:ascii="Rockwell" w:eastAsia="Times New Roman" w:hAnsi="Rockwell" w:cs="Times New Roman"/>
          <w:b/>
          <w:sz w:val="30"/>
          <w:szCs w:val="30"/>
          <w:lang w:val="en-US"/>
        </w:rPr>
        <w:t>VERSUS</w:t>
      </w:r>
    </w:p>
    <w:p w14:paraId="0FE92B7C" w14:textId="6F72F054" w:rsidR="009F48BF" w:rsidRPr="00787316" w:rsidRDefault="002C35D5" w:rsidP="00DB0EE7">
      <w:pPr>
        <w:spacing w:after="0" w:line="240" w:lineRule="auto"/>
        <w:rPr>
          <w:rFonts w:ascii="Rockwell" w:eastAsia="Times New Roman" w:hAnsi="Rockwell" w:cs="Times New Roman"/>
          <w:b/>
          <w:sz w:val="30"/>
          <w:szCs w:val="30"/>
          <w:lang w:val="en-US"/>
        </w:rPr>
      </w:pPr>
      <w:r>
        <w:rPr>
          <w:rFonts w:ascii="Rockwell" w:eastAsia="Times New Roman" w:hAnsi="Rockwell" w:cs="Times New Roman"/>
          <w:b/>
          <w:sz w:val="30"/>
          <w:szCs w:val="30"/>
          <w:lang w:val="en-US"/>
        </w:rPr>
        <w:t>BENEDICT KASIMBI</w:t>
      </w:r>
      <w:r w:rsidR="00DA606A">
        <w:rPr>
          <w:rFonts w:ascii="Rockwell" w:eastAsia="Times New Roman" w:hAnsi="Rockwell" w:cs="Times New Roman"/>
          <w:b/>
          <w:sz w:val="30"/>
          <w:szCs w:val="30"/>
          <w:lang w:val="en-US"/>
        </w:rPr>
        <w:t>……………….</w:t>
      </w:r>
      <w:r>
        <w:rPr>
          <w:rFonts w:ascii="Rockwell" w:eastAsia="Times New Roman" w:hAnsi="Rockwell" w:cs="Times New Roman"/>
          <w:b/>
          <w:sz w:val="30"/>
          <w:szCs w:val="30"/>
          <w:lang w:val="en-US"/>
        </w:rPr>
        <w:t>………</w:t>
      </w:r>
      <w:r w:rsidR="000D019D" w:rsidRPr="00855F03">
        <w:rPr>
          <w:rFonts w:ascii="Rockwell" w:eastAsia="Times New Roman" w:hAnsi="Rockwell" w:cs="Times New Roman"/>
          <w:b/>
          <w:sz w:val="30"/>
          <w:szCs w:val="30"/>
          <w:lang w:val="en-US"/>
        </w:rPr>
        <w:t>…</w:t>
      </w:r>
      <w:r w:rsidR="00855F03">
        <w:rPr>
          <w:rFonts w:ascii="Rockwell" w:eastAsia="Times New Roman" w:hAnsi="Rockwell" w:cs="Times New Roman"/>
          <w:b/>
          <w:sz w:val="30"/>
          <w:szCs w:val="30"/>
          <w:lang w:val="en-US"/>
        </w:rPr>
        <w:t>…</w:t>
      </w:r>
      <w:r w:rsidR="00917A05">
        <w:rPr>
          <w:rFonts w:ascii="Rockwell" w:eastAsia="Times New Roman" w:hAnsi="Rockwell" w:cs="Times New Roman"/>
          <w:b/>
          <w:sz w:val="30"/>
          <w:szCs w:val="30"/>
          <w:lang w:val="en-US"/>
        </w:rPr>
        <w:t>…..</w:t>
      </w:r>
      <w:r w:rsidR="000D019D" w:rsidRPr="00855F03">
        <w:rPr>
          <w:rFonts w:ascii="Rockwell" w:eastAsia="Times New Roman" w:hAnsi="Rockwell" w:cs="Times New Roman"/>
          <w:b/>
          <w:sz w:val="30"/>
          <w:szCs w:val="30"/>
          <w:lang w:val="en-US"/>
        </w:rPr>
        <w:t>.</w:t>
      </w:r>
      <w:r w:rsidR="009F48BF" w:rsidRPr="00855F03">
        <w:rPr>
          <w:rFonts w:ascii="Rockwell" w:eastAsia="Times New Roman" w:hAnsi="Rockwell" w:cs="Times New Roman"/>
          <w:b/>
          <w:sz w:val="30"/>
          <w:szCs w:val="30"/>
          <w:lang w:val="en-US"/>
        </w:rPr>
        <w:t>RESPONDENT</w:t>
      </w:r>
    </w:p>
    <w:p w14:paraId="24BDA145" w14:textId="77777777" w:rsidR="00855F03" w:rsidRPr="00855F03" w:rsidRDefault="00855F03" w:rsidP="00DB0EE7">
      <w:pPr>
        <w:spacing w:after="0" w:line="240" w:lineRule="auto"/>
        <w:rPr>
          <w:rFonts w:ascii="Rockwell" w:eastAsia="Times New Roman" w:hAnsi="Rockwell" w:cs="Times New Roman"/>
          <w:b/>
          <w:sz w:val="30"/>
          <w:szCs w:val="30"/>
          <w:lang w:val="en-US"/>
        </w:rPr>
      </w:pPr>
    </w:p>
    <w:p w14:paraId="7F35E353" w14:textId="5C040679" w:rsidR="00D41955" w:rsidRPr="00855F03" w:rsidRDefault="00D41955" w:rsidP="00DB0EE7">
      <w:pPr>
        <w:spacing w:line="276" w:lineRule="auto"/>
        <w:jc w:val="center"/>
        <w:rPr>
          <w:rFonts w:ascii="Rockwell" w:eastAsia="Times New Roman" w:hAnsi="Rockwell" w:cs="Times New Roman"/>
          <w:b/>
          <w:i/>
          <w:iCs/>
          <w:sz w:val="24"/>
          <w:szCs w:val="24"/>
          <w:u w:val="single"/>
          <w:lang w:val="en-US"/>
        </w:rPr>
      </w:pPr>
      <w:r w:rsidRPr="00855F03">
        <w:rPr>
          <w:rFonts w:ascii="Rockwell" w:eastAsia="Times New Roman" w:hAnsi="Rockwell" w:cs="Times New Roman"/>
          <w:b/>
          <w:sz w:val="30"/>
          <w:szCs w:val="30"/>
          <w:lang w:val="en-US"/>
        </w:rPr>
        <w:t>(</w:t>
      </w:r>
      <w:r w:rsidRPr="00855F03">
        <w:rPr>
          <w:rFonts w:ascii="Rockwell" w:eastAsia="Times New Roman" w:hAnsi="Rockwell" w:cs="Times New Roman"/>
          <w:b/>
          <w:i/>
          <w:iCs/>
          <w:sz w:val="24"/>
          <w:szCs w:val="24"/>
          <w:u w:val="single"/>
          <w:lang w:val="en-US"/>
        </w:rPr>
        <w:t>Being an Appeal against the Judgemen</w:t>
      </w:r>
      <w:r w:rsidR="00787316">
        <w:rPr>
          <w:rFonts w:ascii="Rockwell" w:eastAsia="Times New Roman" w:hAnsi="Rockwell" w:cs="Times New Roman"/>
          <w:b/>
          <w:i/>
          <w:iCs/>
          <w:sz w:val="24"/>
          <w:szCs w:val="24"/>
          <w:u w:val="single"/>
          <w:lang w:val="en-US"/>
        </w:rPr>
        <w:t>t of the H</w:t>
      </w:r>
      <w:r w:rsidR="002C35D5">
        <w:rPr>
          <w:rFonts w:ascii="Rockwell" w:eastAsia="Times New Roman" w:hAnsi="Rockwell" w:cs="Times New Roman"/>
          <w:b/>
          <w:i/>
          <w:iCs/>
          <w:sz w:val="24"/>
          <w:szCs w:val="24"/>
          <w:u w:val="single"/>
          <w:lang w:val="en-US"/>
        </w:rPr>
        <w:t>onourable B Luova (SRM)</w:t>
      </w:r>
      <w:r w:rsidR="00F44293">
        <w:rPr>
          <w:rFonts w:ascii="Rockwell" w:eastAsia="Times New Roman" w:hAnsi="Rockwell" w:cs="Times New Roman"/>
          <w:b/>
          <w:i/>
          <w:iCs/>
          <w:sz w:val="24"/>
          <w:szCs w:val="24"/>
          <w:u w:val="single"/>
          <w:lang w:val="en-US"/>
        </w:rPr>
        <w:t xml:space="preserve"> </w:t>
      </w:r>
      <w:r w:rsidR="002C35D5">
        <w:rPr>
          <w:rFonts w:ascii="Rockwell" w:eastAsia="Times New Roman" w:hAnsi="Rockwell" w:cs="Times New Roman"/>
          <w:b/>
          <w:i/>
          <w:iCs/>
          <w:sz w:val="24"/>
          <w:szCs w:val="24"/>
          <w:u w:val="single"/>
          <w:lang w:val="en-US"/>
        </w:rPr>
        <w:t>in</w:t>
      </w:r>
      <w:r w:rsidR="00B724D9">
        <w:rPr>
          <w:rFonts w:ascii="Rockwell" w:eastAsia="Times New Roman" w:hAnsi="Rockwell" w:cs="Times New Roman"/>
          <w:b/>
          <w:i/>
          <w:iCs/>
          <w:sz w:val="24"/>
          <w:szCs w:val="24"/>
          <w:u w:val="single"/>
          <w:lang w:val="en-US"/>
        </w:rPr>
        <w:t xml:space="preserve"> </w:t>
      </w:r>
      <w:r w:rsidR="002C35D5">
        <w:rPr>
          <w:rFonts w:ascii="Rockwell" w:eastAsia="Times New Roman" w:hAnsi="Rockwell" w:cs="Times New Roman"/>
          <w:b/>
          <w:i/>
          <w:iCs/>
          <w:sz w:val="24"/>
          <w:szCs w:val="24"/>
          <w:u w:val="single"/>
          <w:lang w:val="en-US"/>
        </w:rPr>
        <w:t xml:space="preserve">Machakos  Scccomm </w:t>
      </w:r>
      <w:r w:rsidR="00787316">
        <w:rPr>
          <w:rFonts w:ascii="Rockwell" w:eastAsia="Times New Roman" w:hAnsi="Rockwell" w:cs="Times New Roman"/>
          <w:b/>
          <w:i/>
          <w:iCs/>
          <w:sz w:val="24"/>
          <w:szCs w:val="24"/>
          <w:u w:val="single"/>
          <w:lang w:val="en-US"/>
        </w:rPr>
        <w:t xml:space="preserve"> </w:t>
      </w:r>
      <w:r w:rsidR="007C16C4" w:rsidRPr="00855F03">
        <w:rPr>
          <w:rFonts w:ascii="Rockwell" w:eastAsia="Times New Roman" w:hAnsi="Rockwell" w:cs="Times New Roman"/>
          <w:b/>
          <w:i/>
          <w:iCs/>
          <w:sz w:val="24"/>
          <w:szCs w:val="24"/>
          <w:u w:val="single"/>
          <w:lang w:val="en-US"/>
        </w:rPr>
        <w:t xml:space="preserve"> no. </w:t>
      </w:r>
      <w:r w:rsidR="002C35D5">
        <w:rPr>
          <w:rFonts w:ascii="Rockwell" w:eastAsia="Times New Roman" w:hAnsi="Rockwell" w:cs="Times New Roman"/>
          <w:b/>
          <w:i/>
          <w:iCs/>
          <w:sz w:val="24"/>
          <w:szCs w:val="24"/>
          <w:u w:val="single"/>
          <w:lang w:val="en-US"/>
        </w:rPr>
        <w:t>E200 of 2024 delivered on 04/07/2024</w:t>
      </w:r>
      <w:r w:rsidR="007C16C4" w:rsidRPr="00855F03">
        <w:rPr>
          <w:rFonts w:ascii="Rockwell" w:eastAsia="Times New Roman" w:hAnsi="Rockwell" w:cs="Times New Roman"/>
          <w:b/>
          <w:i/>
          <w:iCs/>
          <w:sz w:val="24"/>
          <w:szCs w:val="24"/>
          <w:u w:val="single"/>
          <w:lang w:val="en-US"/>
        </w:rPr>
        <w:t>)</w:t>
      </w:r>
    </w:p>
    <w:p w14:paraId="43B7AB54" w14:textId="450168A4" w:rsidR="005A5241" w:rsidRPr="00855F03" w:rsidRDefault="00E53881" w:rsidP="004C6720">
      <w:pPr>
        <w:spacing w:before="240" w:line="360" w:lineRule="auto"/>
        <w:jc w:val="center"/>
        <w:rPr>
          <w:rFonts w:ascii="Rockwell" w:eastAsia="Times New Roman" w:hAnsi="Rockwell" w:cs="Times New Roman"/>
          <w:b/>
          <w:sz w:val="30"/>
          <w:szCs w:val="30"/>
          <w:u w:val="single"/>
          <w:lang w:val="en-US"/>
        </w:rPr>
      </w:pPr>
      <w:r w:rsidRPr="00855F03">
        <w:rPr>
          <w:rFonts w:ascii="Rockwell" w:eastAsia="Times New Roman" w:hAnsi="Rockwell" w:cs="Times New Roman"/>
          <w:b/>
          <w:sz w:val="30"/>
          <w:szCs w:val="30"/>
          <w:u w:val="single"/>
          <w:lang w:val="en-US"/>
        </w:rPr>
        <w:t>JUDGMENT</w:t>
      </w:r>
    </w:p>
    <w:p w14:paraId="13078885" w14:textId="3D0F7CBB" w:rsidR="00E85DFE" w:rsidRPr="00F44293" w:rsidRDefault="00F44293" w:rsidP="004C6720">
      <w:pPr>
        <w:pStyle w:val="ListParagraph"/>
        <w:numPr>
          <w:ilvl w:val="0"/>
          <w:numId w:val="1"/>
        </w:numPr>
        <w:spacing w:before="240" w:line="360" w:lineRule="auto"/>
        <w:ind w:left="-90"/>
        <w:jc w:val="both"/>
        <w:rPr>
          <w:rFonts w:ascii="Rockwell" w:eastAsia="Times New Roman" w:hAnsi="Rockwell" w:cs="Times New Roman"/>
          <w:b/>
          <w:sz w:val="30"/>
          <w:szCs w:val="30"/>
          <w:u w:val="single"/>
          <w:lang w:val="en-US"/>
        </w:rPr>
      </w:pPr>
      <w:r>
        <w:rPr>
          <w:rFonts w:ascii="Rockwell" w:eastAsia="Times New Roman" w:hAnsi="Rockwell" w:cs="Times New Roman"/>
          <w:sz w:val="30"/>
          <w:szCs w:val="30"/>
          <w:lang w:val="en-US"/>
        </w:rPr>
        <w:t>This appeal challenges the order of dismissal of the Appellants material damage claim by the court below.</w:t>
      </w:r>
      <w:r w:rsidR="005C4DDE">
        <w:rPr>
          <w:rFonts w:ascii="Rockwell" w:eastAsia="Times New Roman" w:hAnsi="Rockwell" w:cs="Times New Roman"/>
          <w:sz w:val="30"/>
          <w:szCs w:val="30"/>
          <w:lang w:val="en-US"/>
        </w:rPr>
        <w:t xml:space="preserve"> </w:t>
      </w:r>
    </w:p>
    <w:p w14:paraId="38F6753B" w14:textId="77777777" w:rsidR="00F44293" w:rsidRPr="005C4DDE" w:rsidRDefault="00F44293" w:rsidP="00F44293">
      <w:pPr>
        <w:pStyle w:val="ListParagraph"/>
        <w:spacing w:before="240" w:line="360" w:lineRule="auto"/>
        <w:ind w:left="-90"/>
        <w:jc w:val="both"/>
        <w:rPr>
          <w:rFonts w:ascii="Rockwell" w:eastAsia="Times New Roman" w:hAnsi="Rockwell" w:cs="Times New Roman"/>
          <w:b/>
          <w:sz w:val="30"/>
          <w:szCs w:val="30"/>
          <w:u w:val="single"/>
          <w:lang w:val="en-US"/>
        </w:rPr>
      </w:pPr>
    </w:p>
    <w:p w14:paraId="2013E76F" w14:textId="03760B15" w:rsidR="000B6164" w:rsidRPr="0034026B" w:rsidRDefault="00855F03" w:rsidP="004C6720">
      <w:pPr>
        <w:pStyle w:val="ListParagraph"/>
        <w:numPr>
          <w:ilvl w:val="0"/>
          <w:numId w:val="1"/>
        </w:numPr>
        <w:spacing w:before="240" w:line="360" w:lineRule="auto"/>
        <w:ind w:left="-90"/>
        <w:jc w:val="both"/>
        <w:rPr>
          <w:rFonts w:ascii="Rockwell" w:eastAsia="Times New Roman" w:hAnsi="Rockwell" w:cs="Times New Roman"/>
          <w:b/>
          <w:sz w:val="30"/>
          <w:szCs w:val="30"/>
          <w:u w:val="single"/>
          <w:lang w:val="en-US"/>
        </w:rPr>
      </w:pPr>
      <w:r>
        <w:rPr>
          <w:rFonts w:ascii="Rockwell" w:eastAsia="Times New Roman" w:hAnsi="Rockwell" w:cs="Times New Roman"/>
          <w:sz w:val="30"/>
          <w:szCs w:val="30"/>
          <w:lang w:val="en-US"/>
        </w:rPr>
        <w:t xml:space="preserve"> Briefly, t</w:t>
      </w:r>
      <w:r w:rsidR="000B565A" w:rsidRPr="00855F03">
        <w:rPr>
          <w:rFonts w:ascii="Rockwell" w:eastAsia="Times New Roman" w:hAnsi="Rockwell" w:cs="Times New Roman"/>
          <w:sz w:val="30"/>
          <w:szCs w:val="30"/>
          <w:lang w:val="en-US"/>
        </w:rPr>
        <w:t xml:space="preserve">he </w:t>
      </w:r>
      <w:r w:rsidR="00F44293">
        <w:rPr>
          <w:rFonts w:ascii="Rockwell" w:eastAsia="Times New Roman" w:hAnsi="Rockwell" w:cs="Times New Roman"/>
          <w:sz w:val="30"/>
          <w:szCs w:val="30"/>
          <w:lang w:val="en-US"/>
        </w:rPr>
        <w:t xml:space="preserve">appellant’s </w:t>
      </w:r>
      <w:r w:rsidR="0070209F">
        <w:rPr>
          <w:rFonts w:ascii="Rockwell" w:eastAsia="Times New Roman" w:hAnsi="Rockwell" w:cs="Times New Roman"/>
          <w:sz w:val="30"/>
          <w:szCs w:val="30"/>
          <w:lang w:val="en-US"/>
        </w:rPr>
        <w:t>case was that on or about the</w:t>
      </w:r>
      <w:r w:rsidR="0056601A">
        <w:rPr>
          <w:rFonts w:ascii="Rockwell" w:eastAsia="Times New Roman" w:hAnsi="Rockwell" w:cs="Times New Roman"/>
          <w:sz w:val="30"/>
          <w:szCs w:val="30"/>
          <w:lang w:val="en-US"/>
        </w:rPr>
        <w:t xml:space="preserve"> 6</w:t>
      </w:r>
      <w:r w:rsidR="0056601A" w:rsidRPr="0056601A">
        <w:rPr>
          <w:rFonts w:ascii="Rockwell" w:eastAsia="Times New Roman" w:hAnsi="Rockwell" w:cs="Times New Roman"/>
          <w:sz w:val="30"/>
          <w:szCs w:val="30"/>
          <w:vertAlign w:val="superscript"/>
          <w:lang w:val="en-US"/>
        </w:rPr>
        <w:t>th</w:t>
      </w:r>
      <w:r w:rsidR="00F44293">
        <w:rPr>
          <w:rFonts w:ascii="Rockwell" w:eastAsia="Times New Roman" w:hAnsi="Rockwell" w:cs="Times New Roman"/>
          <w:sz w:val="30"/>
          <w:szCs w:val="30"/>
          <w:lang w:val="en-US"/>
        </w:rPr>
        <w:t xml:space="preserve"> M</w:t>
      </w:r>
      <w:r w:rsidR="0056601A">
        <w:rPr>
          <w:rFonts w:ascii="Rockwell" w:eastAsia="Times New Roman" w:hAnsi="Rockwell" w:cs="Times New Roman"/>
          <w:sz w:val="30"/>
          <w:szCs w:val="30"/>
          <w:lang w:val="en-US"/>
        </w:rPr>
        <w:t xml:space="preserve">arch </w:t>
      </w:r>
      <w:r w:rsidR="00F44293">
        <w:rPr>
          <w:rFonts w:ascii="Rockwell" w:eastAsia="Times New Roman" w:hAnsi="Rockwell" w:cs="Times New Roman"/>
          <w:sz w:val="30"/>
          <w:szCs w:val="30"/>
          <w:lang w:val="en-US"/>
        </w:rPr>
        <w:t>2022 at</w:t>
      </w:r>
      <w:r w:rsidR="0056601A">
        <w:rPr>
          <w:rFonts w:ascii="Rockwell" w:eastAsia="Times New Roman" w:hAnsi="Rockwell" w:cs="Times New Roman"/>
          <w:sz w:val="30"/>
          <w:szCs w:val="30"/>
          <w:lang w:val="en-US"/>
        </w:rPr>
        <w:t xml:space="preserve"> 0900</w:t>
      </w:r>
      <w:r w:rsidR="00F44293">
        <w:rPr>
          <w:rFonts w:ascii="Rockwell" w:eastAsia="Times New Roman" w:hAnsi="Rockwell" w:cs="Times New Roman"/>
          <w:sz w:val="30"/>
          <w:szCs w:val="30"/>
          <w:lang w:val="en-US"/>
        </w:rPr>
        <w:t xml:space="preserve"> </w:t>
      </w:r>
      <w:r w:rsidR="0056601A">
        <w:rPr>
          <w:rFonts w:ascii="Rockwell" w:eastAsia="Times New Roman" w:hAnsi="Rockwell" w:cs="Times New Roman"/>
          <w:sz w:val="30"/>
          <w:szCs w:val="30"/>
          <w:lang w:val="en-US"/>
        </w:rPr>
        <w:t xml:space="preserve">hrs </w:t>
      </w:r>
      <w:r w:rsidR="00F44293">
        <w:rPr>
          <w:rFonts w:ascii="Rockwell" w:eastAsia="Times New Roman" w:hAnsi="Rockwell" w:cs="Times New Roman"/>
          <w:sz w:val="30"/>
          <w:szCs w:val="30"/>
          <w:lang w:val="en-US"/>
        </w:rPr>
        <w:t>along Namanga</w:t>
      </w:r>
      <w:r w:rsidR="0056601A">
        <w:rPr>
          <w:rFonts w:ascii="Rockwell" w:eastAsia="Times New Roman" w:hAnsi="Rockwell" w:cs="Times New Roman"/>
          <w:sz w:val="30"/>
          <w:szCs w:val="30"/>
          <w:lang w:val="en-US"/>
        </w:rPr>
        <w:t xml:space="preserve"> road at Savanna area </w:t>
      </w:r>
      <w:r w:rsidR="00F44293">
        <w:rPr>
          <w:rFonts w:ascii="Rockwell" w:eastAsia="Times New Roman" w:hAnsi="Rockwell" w:cs="Times New Roman"/>
          <w:sz w:val="30"/>
          <w:szCs w:val="30"/>
          <w:lang w:val="en-US"/>
        </w:rPr>
        <w:t xml:space="preserve">the appellant’s motor vehicle Reg. No. KDB 568E </w:t>
      </w:r>
      <w:r w:rsidR="0056601A">
        <w:rPr>
          <w:rFonts w:ascii="Rockwell" w:eastAsia="Times New Roman" w:hAnsi="Rockwell" w:cs="Times New Roman"/>
          <w:sz w:val="30"/>
          <w:szCs w:val="30"/>
          <w:lang w:val="en-US"/>
        </w:rPr>
        <w:t xml:space="preserve">was hit by </w:t>
      </w:r>
      <w:r w:rsidR="00F44293">
        <w:rPr>
          <w:rFonts w:ascii="Rockwell" w:eastAsia="Times New Roman" w:hAnsi="Rockwell" w:cs="Times New Roman"/>
          <w:sz w:val="30"/>
          <w:szCs w:val="30"/>
          <w:lang w:val="en-US"/>
        </w:rPr>
        <w:t xml:space="preserve">a </w:t>
      </w:r>
      <w:r w:rsidR="0056601A">
        <w:rPr>
          <w:rFonts w:ascii="Rockwell" w:eastAsia="Times New Roman" w:hAnsi="Rockwell" w:cs="Times New Roman"/>
          <w:sz w:val="30"/>
          <w:szCs w:val="30"/>
          <w:lang w:val="en-US"/>
        </w:rPr>
        <w:t xml:space="preserve">motor vehicle </w:t>
      </w:r>
      <w:r w:rsidR="00F44293">
        <w:rPr>
          <w:rFonts w:ascii="Rockwell" w:eastAsia="Times New Roman" w:hAnsi="Rockwell" w:cs="Times New Roman"/>
          <w:sz w:val="30"/>
          <w:szCs w:val="30"/>
          <w:lang w:val="en-US"/>
        </w:rPr>
        <w:t>Reg. No. KBU</w:t>
      </w:r>
      <w:r w:rsidR="0056601A">
        <w:rPr>
          <w:rFonts w:ascii="Rockwell" w:eastAsia="Times New Roman" w:hAnsi="Rockwell" w:cs="Times New Roman"/>
          <w:sz w:val="30"/>
          <w:szCs w:val="30"/>
          <w:lang w:val="en-US"/>
        </w:rPr>
        <w:t xml:space="preserve"> 042N belonging to the respondent and as a result the appellant’s motor vehicle was damaged</w:t>
      </w:r>
      <w:r w:rsidR="005C4DDE">
        <w:rPr>
          <w:rFonts w:ascii="Rockwell" w:eastAsia="Times New Roman" w:hAnsi="Rockwell" w:cs="Times New Roman"/>
          <w:sz w:val="30"/>
          <w:szCs w:val="30"/>
          <w:lang w:val="en-US"/>
        </w:rPr>
        <w:t>.</w:t>
      </w:r>
    </w:p>
    <w:p w14:paraId="36A245AC" w14:textId="77777777" w:rsidR="000B6164" w:rsidRPr="000B6164" w:rsidRDefault="000B6164" w:rsidP="004C6720">
      <w:pPr>
        <w:pStyle w:val="ListParagraph"/>
        <w:spacing w:before="240" w:line="360" w:lineRule="auto"/>
        <w:rPr>
          <w:rFonts w:ascii="Rockwell" w:eastAsia="Times New Roman" w:hAnsi="Rockwell" w:cs="Times New Roman"/>
          <w:sz w:val="30"/>
          <w:szCs w:val="30"/>
        </w:rPr>
      </w:pPr>
    </w:p>
    <w:p w14:paraId="17B5D52E" w14:textId="77777777" w:rsidR="00917A05" w:rsidRDefault="00AF3B21" w:rsidP="00917A05">
      <w:pPr>
        <w:pStyle w:val="ListParagraph"/>
        <w:numPr>
          <w:ilvl w:val="0"/>
          <w:numId w:val="1"/>
        </w:numPr>
        <w:spacing w:before="240" w:line="360" w:lineRule="auto"/>
        <w:ind w:left="-90"/>
        <w:jc w:val="both"/>
        <w:rPr>
          <w:rFonts w:ascii="Rockwell" w:eastAsia="Times New Roman" w:hAnsi="Rockwell" w:cs="Times New Roman"/>
          <w:sz w:val="30"/>
          <w:szCs w:val="30"/>
        </w:rPr>
      </w:pPr>
      <w:r w:rsidRPr="000B6164">
        <w:rPr>
          <w:rFonts w:ascii="Rockwell" w:eastAsia="Times New Roman" w:hAnsi="Rockwell" w:cs="Times New Roman"/>
          <w:sz w:val="30"/>
          <w:szCs w:val="30"/>
        </w:rPr>
        <w:t xml:space="preserve">After considering the evidence and submissions by </w:t>
      </w:r>
      <w:r w:rsidR="00294624">
        <w:rPr>
          <w:rFonts w:ascii="Rockwell" w:eastAsia="Times New Roman" w:hAnsi="Rockwell" w:cs="Times New Roman"/>
          <w:sz w:val="30"/>
          <w:szCs w:val="30"/>
        </w:rPr>
        <w:t xml:space="preserve">both sides the </w:t>
      </w:r>
      <w:r w:rsidR="00917A05">
        <w:rPr>
          <w:rFonts w:ascii="Rockwell" w:eastAsia="Times New Roman" w:hAnsi="Rockwell" w:cs="Times New Roman"/>
          <w:sz w:val="30"/>
          <w:szCs w:val="30"/>
        </w:rPr>
        <w:t>Adjudicator dismissed the claim for reason that negligence was not proved.</w:t>
      </w:r>
    </w:p>
    <w:p w14:paraId="21880F72" w14:textId="77777777" w:rsidR="00917A05" w:rsidRPr="00917A05" w:rsidRDefault="00917A05" w:rsidP="00917A05">
      <w:pPr>
        <w:pStyle w:val="ListParagraph"/>
        <w:rPr>
          <w:rFonts w:ascii="Rockwell" w:eastAsia="Times New Roman" w:hAnsi="Rockwell" w:cs="Times New Roman"/>
          <w:sz w:val="30"/>
          <w:szCs w:val="30"/>
        </w:rPr>
      </w:pPr>
    </w:p>
    <w:p w14:paraId="62649182" w14:textId="35BFFE35" w:rsidR="002F477D" w:rsidRPr="00917A05" w:rsidRDefault="000B6164" w:rsidP="00917A05">
      <w:pPr>
        <w:pStyle w:val="ListParagraph"/>
        <w:numPr>
          <w:ilvl w:val="0"/>
          <w:numId w:val="1"/>
        </w:numPr>
        <w:spacing w:before="240" w:line="360" w:lineRule="auto"/>
        <w:ind w:left="-90"/>
        <w:jc w:val="both"/>
        <w:rPr>
          <w:rFonts w:ascii="Rockwell" w:eastAsia="Times New Roman" w:hAnsi="Rockwell" w:cs="Times New Roman"/>
          <w:sz w:val="30"/>
          <w:szCs w:val="30"/>
        </w:rPr>
      </w:pPr>
      <w:r w:rsidRPr="00917A05">
        <w:rPr>
          <w:rFonts w:ascii="Rockwell" w:eastAsia="Times New Roman" w:hAnsi="Rockwell" w:cs="Times New Roman"/>
          <w:sz w:val="30"/>
          <w:szCs w:val="30"/>
        </w:rPr>
        <w:t>Aggrieved b</w:t>
      </w:r>
      <w:r w:rsidR="002F477D" w:rsidRPr="00917A05">
        <w:rPr>
          <w:rFonts w:ascii="Rockwell" w:eastAsia="Times New Roman" w:hAnsi="Rockwell" w:cs="Times New Roman"/>
          <w:sz w:val="30"/>
          <w:szCs w:val="30"/>
        </w:rPr>
        <w:t xml:space="preserve">y </w:t>
      </w:r>
      <w:r w:rsidRPr="00917A05">
        <w:rPr>
          <w:rFonts w:ascii="Rockwell" w:eastAsia="Times New Roman" w:hAnsi="Rockwell" w:cs="Times New Roman"/>
          <w:sz w:val="30"/>
          <w:szCs w:val="30"/>
        </w:rPr>
        <w:t xml:space="preserve">the </w:t>
      </w:r>
      <w:r w:rsidR="009350BB" w:rsidRPr="00917A05">
        <w:rPr>
          <w:rFonts w:ascii="Rockwell" w:eastAsia="Times New Roman" w:hAnsi="Rockwell" w:cs="Times New Roman"/>
          <w:sz w:val="30"/>
          <w:szCs w:val="30"/>
        </w:rPr>
        <w:t>Judgment, the</w:t>
      </w:r>
      <w:r w:rsidR="002F477D" w:rsidRPr="00917A05">
        <w:rPr>
          <w:rFonts w:ascii="Rockwell" w:eastAsia="Times New Roman" w:hAnsi="Rockwell" w:cs="Times New Roman"/>
          <w:sz w:val="30"/>
          <w:szCs w:val="30"/>
        </w:rPr>
        <w:t xml:space="preserve"> Appellant lodged </w:t>
      </w:r>
      <w:r w:rsidR="009350BB" w:rsidRPr="00917A05">
        <w:rPr>
          <w:rFonts w:ascii="Rockwell" w:eastAsia="Times New Roman" w:hAnsi="Rockwell" w:cs="Times New Roman"/>
          <w:sz w:val="30"/>
          <w:szCs w:val="30"/>
        </w:rPr>
        <w:t>this appeal</w:t>
      </w:r>
      <w:r w:rsidR="002F477D" w:rsidRPr="00917A05">
        <w:rPr>
          <w:rFonts w:ascii="Rockwell" w:eastAsia="Times New Roman" w:hAnsi="Rockwell" w:cs="Times New Roman"/>
          <w:sz w:val="30"/>
          <w:szCs w:val="30"/>
        </w:rPr>
        <w:t xml:space="preserve"> </w:t>
      </w:r>
      <w:r w:rsidRPr="00917A05">
        <w:rPr>
          <w:rFonts w:ascii="Rockwell" w:eastAsia="Times New Roman" w:hAnsi="Rockwell" w:cs="Times New Roman"/>
          <w:sz w:val="30"/>
          <w:szCs w:val="30"/>
        </w:rPr>
        <w:t xml:space="preserve">on grounds </w:t>
      </w:r>
      <w:r w:rsidR="009350BB" w:rsidRPr="00917A05">
        <w:rPr>
          <w:rFonts w:ascii="Rockwell" w:eastAsia="Times New Roman" w:hAnsi="Rockwell" w:cs="Times New Roman"/>
          <w:sz w:val="30"/>
          <w:szCs w:val="30"/>
        </w:rPr>
        <w:t>that: -</w:t>
      </w:r>
      <w:r w:rsidRPr="00917A05">
        <w:rPr>
          <w:rFonts w:ascii="Rockwell" w:eastAsia="Times New Roman" w:hAnsi="Rockwell" w:cs="Times New Roman"/>
          <w:sz w:val="30"/>
          <w:szCs w:val="30"/>
        </w:rPr>
        <w:t xml:space="preserve"> </w:t>
      </w:r>
      <w:r w:rsidR="002F477D" w:rsidRPr="00917A05">
        <w:rPr>
          <w:rFonts w:ascii="Rockwell" w:eastAsia="Times New Roman" w:hAnsi="Rockwell" w:cs="Times New Roman"/>
          <w:sz w:val="30"/>
          <w:szCs w:val="30"/>
        </w:rPr>
        <w:t xml:space="preserve"> </w:t>
      </w:r>
    </w:p>
    <w:p w14:paraId="472F0FDA" w14:textId="785A8360" w:rsidR="002F477D" w:rsidRPr="000B6164" w:rsidRDefault="000B6164" w:rsidP="00917A05">
      <w:pPr>
        <w:spacing w:before="240" w:line="276" w:lineRule="auto"/>
        <w:ind w:left="1350" w:hanging="540"/>
        <w:jc w:val="both"/>
        <w:rPr>
          <w:rFonts w:ascii="Rockwell" w:eastAsia="Times New Roman" w:hAnsi="Rockwell" w:cs="Times New Roman"/>
          <w:b/>
          <w:i/>
          <w:sz w:val="30"/>
          <w:szCs w:val="30"/>
          <w:lang w:val="en-US"/>
        </w:rPr>
      </w:pPr>
      <w:r>
        <w:rPr>
          <w:rFonts w:ascii="Rockwell" w:eastAsia="Times New Roman" w:hAnsi="Rockwell" w:cs="Times New Roman"/>
          <w:b/>
          <w:i/>
          <w:sz w:val="30"/>
          <w:szCs w:val="30"/>
        </w:rPr>
        <w:lastRenderedPageBreak/>
        <w:t xml:space="preserve">“a. </w:t>
      </w:r>
      <w:r w:rsidR="0034026B">
        <w:rPr>
          <w:rFonts w:ascii="Rockwell" w:eastAsia="Times New Roman" w:hAnsi="Rockwell" w:cs="Times New Roman"/>
          <w:b/>
          <w:i/>
          <w:sz w:val="30"/>
          <w:szCs w:val="30"/>
        </w:rPr>
        <w:t>The learned trial magistrate</w:t>
      </w:r>
      <w:r w:rsidR="002F477D" w:rsidRPr="000B6164">
        <w:rPr>
          <w:rFonts w:ascii="Rockwell" w:eastAsia="Times New Roman" w:hAnsi="Rockwell" w:cs="Times New Roman"/>
          <w:b/>
          <w:i/>
          <w:sz w:val="30"/>
          <w:szCs w:val="30"/>
        </w:rPr>
        <w:t xml:space="preserve"> e</w:t>
      </w:r>
      <w:r w:rsidR="00EF10C2">
        <w:rPr>
          <w:rFonts w:ascii="Rockwell" w:eastAsia="Times New Roman" w:hAnsi="Rockwell" w:cs="Times New Roman"/>
          <w:b/>
          <w:i/>
          <w:sz w:val="30"/>
          <w:szCs w:val="30"/>
        </w:rPr>
        <w:t>rred in</w:t>
      </w:r>
      <w:r w:rsidR="006965CE">
        <w:rPr>
          <w:rFonts w:ascii="Rockwell" w:eastAsia="Times New Roman" w:hAnsi="Rockwell" w:cs="Times New Roman"/>
          <w:b/>
          <w:i/>
          <w:sz w:val="30"/>
          <w:szCs w:val="30"/>
        </w:rPr>
        <w:t xml:space="preserve"> fact and in law</w:t>
      </w:r>
      <w:r w:rsidR="00ED5D3E">
        <w:rPr>
          <w:rFonts w:ascii="Rockwell" w:eastAsia="Times New Roman" w:hAnsi="Rockwell" w:cs="Times New Roman"/>
          <w:b/>
          <w:i/>
          <w:sz w:val="30"/>
          <w:szCs w:val="30"/>
        </w:rPr>
        <w:t xml:space="preserve"> by dismissing </w:t>
      </w:r>
      <w:r w:rsidR="00EF1F14">
        <w:rPr>
          <w:rFonts w:ascii="Rockwell" w:eastAsia="Times New Roman" w:hAnsi="Rockwell" w:cs="Times New Roman"/>
          <w:b/>
          <w:i/>
          <w:sz w:val="30"/>
          <w:szCs w:val="30"/>
        </w:rPr>
        <w:t>t</w:t>
      </w:r>
      <w:r w:rsidR="00ED5D3E">
        <w:rPr>
          <w:rFonts w:ascii="Rockwell" w:eastAsia="Times New Roman" w:hAnsi="Rockwell" w:cs="Times New Roman"/>
          <w:b/>
          <w:i/>
          <w:sz w:val="30"/>
          <w:szCs w:val="30"/>
        </w:rPr>
        <w:t>he Claimant’s claim against the preponderance of evidence placed before the court</w:t>
      </w:r>
      <w:r w:rsidR="00EF10C2">
        <w:rPr>
          <w:rFonts w:ascii="Rockwell" w:eastAsia="Times New Roman" w:hAnsi="Rockwell" w:cs="Times New Roman"/>
          <w:b/>
          <w:i/>
          <w:sz w:val="30"/>
          <w:szCs w:val="30"/>
        </w:rPr>
        <w:t>.</w:t>
      </w:r>
    </w:p>
    <w:p w14:paraId="228CDAF1" w14:textId="79057AEC" w:rsidR="00B52F50" w:rsidRPr="004C6720" w:rsidRDefault="002F477D" w:rsidP="00917A05">
      <w:pPr>
        <w:pStyle w:val="ListParagraph"/>
        <w:numPr>
          <w:ilvl w:val="0"/>
          <w:numId w:val="3"/>
        </w:numPr>
        <w:spacing w:before="240" w:line="276" w:lineRule="auto"/>
        <w:jc w:val="both"/>
        <w:rPr>
          <w:rFonts w:ascii="Rockwell" w:eastAsia="Times New Roman" w:hAnsi="Rockwell" w:cs="Times New Roman"/>
          <w:b/>
          <w:i/>
          <w:sz w:val="30"/>
          <w:szCs w:val="30"/>
          <w:lang w:val="en-US"/>
        </w:rPr>
      </w:pPr>
      <w:r w:rsidRPr="000B6164">
        <w:rPr>
          <w:rFonts w:ascii="Rockwell" w:eastAsia="Times New Roman" w:hAnsi="Rockwell" w:cs="Times New Roman"/>
          <w:b/>
          <w:i/>
          <w:sz w:val="30"/>
          <w:szCs w:val="30"/>
        </w:rPr>
        <w:t>The l</w:t>
      </w:r>
      <w:r w:rsidR="00EF1F14">
        <w:rPr>
          <w:rFonts w:ascii="Rockwell" w:eastAsia="Times New Roman" w:hAnsi="Rockwell" w:cs="Times New Roman"/>
          <w:b/>
          <w:i/>
          <w:sz w:val="30"/>
          <w:szCs w:val="30"/>
        </w:rPr>
        <w:t>earned trial magistrate</w:t>
      </w:r>
      <w:r w:rsidR="00EF10C2">
        <w:rPr>
          <w:rFonts w:ascii="Rockwell" w:eastAsia="Times New Roman" w:hAnsi="Rockwell" w:cs="Times New Roman"/>
          <w:b/>
          <w:i/>
          <w:sz w:val="30"/>
          <w:szCs w:val="30"/>
        </w:rPr>
        <w:t xml:space="preserve"> erred in </w:t>
      </w:r>
      <w:r w:rsidR="006965CE">
        <w:rPr>
          <w:rFonts w:ascii="Rockwell" w:eastAsia="Times New Roman" w:hAnsi="Rockwell" w:cs="Times New Roman"/>
          <w:b/>
          <w:i/>
          <w:sz w:val="30"/>
          <w:szCs w:val="30"/>
        </w:rPr>
        <w:t>law and in fact</w:t>
      </w:r>
      <w:r w:rsidR="00EF1F14">
        <w:rPr>
          <w:rFonts w:ascii="Rockwell" w:eastAsia="Times New Roman" w:hAnsi="Rockwell" w:cs="Times New Roman"/>
          <w:b/>
          <w:i/>
          <w:sz w:val="30"/>
          <w:szCs w:val="30"/>
        </w:rPr>
        <w:t xml:space="preserve"> by</w:t>
      </w:r>
      <w:r w:rsidR="00ED5D3E">
        <w:rPr>
          <w:rFonts w:ascii="Rockwell" w:eastAsia="Times New Roman" w:hAnsi="Rockwell" w:cs="Times New Roman"/>
          <w:b/>
          <w:i/>
          <w:sz w:val="30"/>
          <w:szCs w:val="30"/>
        </w:rPr>
        <w:t xml:space="preserve"> holding that the claimant had not particularized negligence when the circumstances giving rise to negligence were clearly set out in paragraph 4 of the statement of Claim and supported by the evidence of the Police abstract</w:t>
      </w:r>
      <w:r w:rsidRPr="000B6164">
        <w:rPr>
          <w:rFonts w:ascii="Rockwell" w:eastAsia="Times New Roman" w:hAnsi="Rockwell" w:cs="Times New Roman"/>
          <w:b/>
          <w:i/>
          <w:sz w:val="30"/>
          <w:szCs w:val="30"/>
        </w:rPr>
        <w:t>.</w:t>
      </w:r>
    </w:p>
    <w:p w14:paraId="6AD83D6E" w14:textId="6C0FEAA7" w:rsidR="004C6720" w:rsidRPr="004C6720" w:rsidRDefault="00EF1F14" w:rsidP="00917A05">
      <w:pPr>
        <w:pStyle w:val="ListParagraph"/>
        <w:numPr>
          <w:ilvl w:val="0"/>
          <w:numId w:val="3"/>
        </w:numPr>
        <w:spacing w:before="240" w:line="276" w:lineRule="auto"/>
        <w:jc w:val="both"/>
        <w:rPr>
          <w:rFonts w:ascii="Rockwell" w:eastAsia="Times New Roman" w:hAnsi="Rockwell" w:cs="Times New Roman"/>
          <w:b/>
          <w:i/>
          <w:sz w:val="30"/>
          <w:szCs w:val="30"/>
        </w:rPr>
      </w:pPr>
      <w:r w:rsidRPr="00EF1F14">
        <w:rPr>
          <w:rFonts w:ascii="Rockwell" w:eastAsia="Times New Roman" w:hAnsi="Rockwell" w:cs="Times New Roman"/>
          <w:b/>
          <w:i/>
          <w:sz w:val="30"/>
          <w:szCs w:val="30"/>
        </w:rPr>
        <w:t xml:space="preserve">The learned trial magistrate </w:t>
      </w:r>
      <w:r w:rsidR="00ED5D3E">
        <w:rPr>
          <w:rFonts w:ascii="Rockwell" w:eastAsia="Times New Roman" w:hAnsi="Rockwell" w:cs="Times New Roman"/>
          <w:b/>
          <w:i/>
          <w:sz w:val="30"/>
          <w:szCs w:val="30"/>
        </w:rPr>
        <w:t xml:space="preserve"> failed to appreciate the fact that the small Claims court forms as presented under the small claims court rules provide for particulars of permitted causes of action sufficient enough to</w:t>
      </w:r>
      <w:r w:rsidR="004C6720">
        <w:rPr>
          <w:rFonts w:ascii="Rockwell" w:eastAsia="Times New Roman" w:hAnsi="Rockwell" w:cs="Times New Roman"/>
          <w:b/>
          <w:i/>
          <w:sz w:val="30"/>
          <w:szCs w:val="30"/>
        </w:rPr>
        <w:t xml:space="preserve"> inform the respondent of the wrong complained of and do not therefore require further particularization of negligence</w:t>
      </w:r>
    </w:p>
    <w:p w14:paraId="52923351" w14:textId="79556202" w:rsidR="002F477D" w:rsidRPr="00EF1F14" w:rsidRDefault="00EF1F14" w:rsidP="00917A05">
      <w:pPr>
        <w:pStyle w:val="ListParagraph"/>
        <w:numPr>
          <w:ilvl w:val="0"/>
          <w:numId w:val="3"/>
        </w:numPr>
        <w:spacing w:before="240" w:line="276" w:lineRule="auto"/>
        <w:jc w:val="both"/>
        <w:rPr>
          <w:rFonts w:ascii="Rockwell" w:eastAsia="Times New Roman" w:hAnsi="Rockwell" w:cs="Times New Roman"/>
          <w:b/>
          <w:i/>
          <w:sz w:val="30"/>
          <w:szCs w:val="30"/>
          <w:lang w:val="en-US"/>
        </w:rPr>
      </w:pPr>
      <w:r>
        <w:rPr>
          <w:rFonts w:ascii="Rockwell" w:eastAsia="Times New Roman" w:hAnsi="Rockwell" w:cs="Times New Roman"/>
          <w:b/>
          <w:i/>
          <w:sz w:val="30"/>
          <w:szCs w:val="30"/>
        </w:rPr>
        <w:t>The learned trial magistrate</w:t>
      </w:r>
      <w:r w:rsidR="00EF10C2">
        <w:rPr>
          <w:rFonts w:ascii="Rockwell" w:eastAsia="Times New Roman" w:hAnsi="Rockwell" w:cs="Times New Roman"/>
          <w:b/>
          <w:i/>
          <w:sz w:val="30"/>
          <w:szCs w:val="30"/>
        </w:rPr>
        <w:t xml:space="preserve"> </w:t>
      </w:r>
      <w:r w:rsidR="004C6720">
        <w:rPr>
          <w:rFonts w:ascii="Rockwell" w:eastAsia="Times New Roman" w:hAnsi="Rockwell" w:cs="Times New Roman"/>
          <w:b/>
          <w:i/>
          <w:sz w:val="30"/>
          <w:szCs w:val="30"/>
        </w:rPr>
        <w:t>erred in fact and in law by dismissing the claimant’s suit on the technicality of particularization of negligence despite admitting that the claimant had otherwise proved his case on a balance of probabilities.</w:t>
      </w:r>
    </w:p>
    <w:p w14:paraId="657ED878" w14:textId="0E9C98A0" w:rsidR="00EF1F14" w:rsidRPr="00EF1F14" w:rsidRDefault="00EF1F14" w:rsidP="00917A05">
      <w:pPr>
        <w:pStyle w:val="ListParagraph"/>
        <w:numPr>
          <w:ilvl w:val="0"/>
          <w:numId w:val="3"/>
        </w:numPr>
        <w:spacing w:before="240" w:line="276" w:lineRule="auto"/>
        <w:jc w:val="both"/>
        <w:rPr>
          <w:rFonts w:ascii="Rockwell" w:eastAsia="Times New Roman" w:hAnsi="Rockwell" w:cs="Times New Roman"/>
          <w:b/>
          <w:i/>
          <w:sz w:val="30"/>
          <w:szCs w:val="30"/>
          <w:lang w:val="en-US"/>
        </w:rPr>
      </w:pPr>
      <w:r>
        <w:rPr>
          <w:rFonts w:ascii="Rockwell" w:eastAsia="Times New Roman" w:hAnsi="Rockwell" w:cs="Times New Roman"/>
          <w:b/>
          <w:i/>
          <w:sz w:val="30"/>
          <w:szCs w:val="30"/>
        </w:rPr>
        <w:t xml:space="preserve">That the learned trial magistrate erred in </w:t>
      </w:r>
      <w:r w:rsidR="008711BE">
        <w:rPr>
          <w:rFonts w:ascii="Rockwell" w:eastAsia="Times New Roman" w:hAnsi="Rockwell" w:cs="Times New Roman"/>
          <w:b/>
          <w:i/>
          <w:sz w:val="30"/>
          <w:szCs w:val="30"/>
        </w:rPr>
        <w:t xml:space="preserve"> fact and in law by requiring the claimant to prove his case beyond the required standard of proof when the claimant had in fact  proved his case on a balance of probabilities</w:t>
      </w:r>
    </w:p>
    <w:p w14:paraId="4FFF54E5" w14:textId="21300563" w:rsidR="009350BB" w:rsidRPr="008711BE" w:rsidRDefault="00EF1F14" w:rsidP="00917A05">
      <w:pPr>
        <w:pStyle w:val="ListParagraph"/>
        <w:numPr>
          <w:ilvl w:val="0"/>
          <w:numId w:val="3"/>
        </w:numPr>
        <w:spacing w:before="240" w:line="276" w:lineRule="auto"/>
        <w:jc w:val="both"/>
        <w:rPr>
          <w:rFonts w:ascii="Rockwell" w:eastAsia="Times New Roman" w:hAnsi="Rockwell" w:cs="Times New Roman"/>
          <w:b/>
          <w:i/>
          <w:sz w:val="30"/>
          <w:szCs w:val="30"/>
          <w:lang w:val="en-US"/>
        </w:rPr>
      </w:pPr>
      <w:r w:rsidRPr="008711BE">
        <w:rPr>
          <w:rFonts w:ascii="Rockwell" w:eastAsia="Times New Roman" w:hAnsi="Rockwell" w:cs="Times New Roman"/>
          <w:b/>
          <w:i/>
          <w:sz w:val="30"/>
          <w:szCs w:val="30"/>
        </w:rPr>
        <w:t xml:space="preserve">The learned trial magistrate </w:t>
      </w:r>
      <w:r w:rsidR="008711BE">
        <w:rPr>
          <w:rFonts w:ascii="Rockwell" w:eastAsia="Times New Roman" w:hAnsi="Rockwell" w:cs="Times New Roman"/>
          <w:b/>
          <w:i/>
          <w:sz w:val="30"/>
          <w:szCs w:val="30"/>
        </w:rPr>
        <w:t>erred in fact and in law by ignoring the claimant’s pleadings, witness statement and written submissions in reaching her decision hence arriving at an erroneous judgement</w:t>
      </w:r>
    </w:p>
    <w:p w14:paraId="4A4B5B1D" w14:textId="3D4F73FA" w:rsidR="008711BE" w:rsidRPr="008711BE" w:rsidRDefault="008711BE" w:rsidP="00917A05">
      <w:pPr>
        <w:pStyle w:val="ListParagraph"/>
        <w:numPr>
          <w:ilvl w:val="0"/>
          <w:numId w:val="3"/>
        </w:numPr>
        <w:spacing w:before="240" w:line="276" w:lineRule="auto"/>
        <w:jc w:val="both"/>
        <w:rPr>
          <w:rFonts w:ascii="Rockwell" w:eastAsia="Times New Roman" w:hAnsi="Rockwell" w:cs="Times New Roman"/>
          <w:b/>
          <w:i/>
          <w:sz w:val="30"/>
          <w:szCs w:val="30"/>
          <w:lang w:val="en-US"/>
        </w:rPr>
      </w:pPr>
      <w:r>
        <w:rPr>
          <w:rFonts w:ascii="Rockwell" w:eastAsia="Times New Roman" w:hAnsi="Rockwell" w:cs="Times New Roman"/>
          <w:b/>
          <w:i/>
          <w:sz w:val="30"/>
          <w:szCs w:val="30"/>
        </w:rPr>
        <w:t xml:space="preserve"> The learned trial magistrate erred in fact and in law by dismissing the claimant’s claim based on a drafting and or procedural technicality contrary to the Constitution, the principles of natural justice and the overriding objective of the Small Claims Court Act.</w:t>
      </w:r>
    </w:p>
    <w:p w14:paraId="2C2103BB" w14:textId="18111034" w:rsidR="008711BE" w:rsidRPr="00917A05" w:rsidRDefault="008711BE" w:rsidP="00917A05">
      <w:pPr>
        <w:pStyle w:val="ListParagraph"/>
        <w:numPr>
          <w:ilvl w:val="0"/>
          <w:numId w:val="3"/>
        </w:numPr>
        <w:spacing w:before="240" w:line="276" w:lineRule="auto"/>
        <w:jc w:val="both"/>
        <w:rPr>
          <w:rFonts w:ascii="Rockwell" w:eastAsia="Times New Roman" w:hAnsi="Rockwell" w:cs="Times New Roman"/>
          <w:b/>
          <w:i/>
          <w:sz w:val="30"/>
          <w:szCs w:val="30"/>
          <w:lang w:val="en-US"/>
        </w:rPr>
      </w:pPr>
      <w:r>
        <w:rPr>
          <w:rFonts w:ascii="Rockwell" w:eastAsia="Times New Roman" w:hAnsi="Rockwell" w:cs="Times New Roman"/>
          <w:b/>
          <w:i/>
          <w:sz w:val="30"/>
          <w:szCs w:val="30"/>
        </w:rPr>
        <w:lastRenderedPageBreak/>
        <w:t xml:space="preserve"> The learned trial Magistrate erred in fact and in law by dismissing the claimant’s claim despite there being overwhelming evidence in support of the said claim.</w:t>
      </w:r>
      <w:r w:rsidR="00917A05">
        <w:rPr>
          <w:rFonts w:ascii="Rockwell" w:eastAsia="Times New Roman" w:hAnsi="Rockwell" w:cs="Times New Roman"/>
          <w:b/>
          <w:i/>
          <w:sz w:val="30"/>
          <w:szCs w:val="30"/>
        </w:rPr>
        <w:t>”</w:t>
      </w:r>
    </w:p>
    <w:p w14:paraId="61A76525" w14:textId="77777777" w:rsidR="00917A05" w:rsidRPr="008711BE" w:rsidRDefault="00917A05" w:rsidP="00917A05">
      <w:pPr>
        <w:pStyle w:val="ListParagraph"/>
        <w:spacing w:before="240" w:line="276" w:lineRule="auto"/>
        <w:ind w:left="1440"/>
        <w:jc w:val="both"/>
        <w:rPr>
          <w:rFonts w:ascii="Rockwell" w:eastAsia="Times New Roman" w:hAnsi="Rockwell" w:cs="Times New Roman"/>
          <w:b/>
          <w:i/>
          <w:sz w:val="30"/>
          <w:szCs w:val="30"/>
          <w:lang w:val="en-US"/>
        </w:rPr>
      </w:pPr>
    </w:p>
    <w:p w14:paraId="713F27A3" w14:textId="5AF053BB" w:rsidR="00B52F50" w:rsidRPr="00C35529" w:rsidRDefault="000E26C4" w:rsidP="00D52E39">
      <w:pPr>
        <w:pStyle w:val="ListParagraph"/>
        <w:numPr>
          <w:ilvl w:val="0"/>
          <w:numId w:val="1"/>
        </w:numPr>
        <w:spacing w:line="360" w:lineRule="auto"/>
        <w:ind w:left="0"/>
        <w:jc w:val="both"/>
        <w:rPr>
          <w:rFonts w:ascii="Rockwell" w:eastAsia="Times New Roman" w:hAnsi="Rockwell" w:cs="Times New Roman"/>
          <w:sz w:val="30"/>
          <w:szCs w:val="30"/>
          <w:lang w:val="en-US"/>
        </w:rPr>
      </w:pPr>
      <w:r w:rsidRPr="000B6164">
        <w:rPr>
          <w:rFonts w:ascii="Rockwell" w:eastAsia="Times New Roman" w:hAnsi="Rockwell" w:cs="Times New Roman"/>
          <w:sz w:val="30"/>
          <w:szCs w:val="30"/>
        </w:rPr>
        <w:t>Th</w:t>
      </w:r>
      <w:r w:rsidR="0061623B">
        <w:rPr>
          <w:rFonts w:ascii="Rockwell" w:eastAsia="Times New Roman" w:hAnsi="Rockwell" w:cs="Times New Roman"/>
          <w:sz w:val="30"/>
          <w:szCs w:val="30"/>
        </w:rPr>
        <w:t>e</w:t>
      </w:r>
      <w:r w:rsidRPr="000B6164">
        <w:rPr>
          <w:rFonts w:ascii="Rockwell" w:eastAsia="Times New Roman" w:hAnsi="Rockwell" w:cs="Times New Roman"/>
          <w:sz w:val="30"/>
          <w:szCs w:val="30"/>
        </w:rPr>
        <w:t xml:space="preserve"> appeal was canvassed by way of written submissions</w:t>
      </w:r>
      <w:r w:rsidR="00E518EF" w:rsidRPr="000B6164">
        <w:rPr>
          <w:rFonts w:ascii="Rockwell" w:eastAsia="Times New Roman" w:hAnsi="Rockwell" w:cs="Times New Roman"/>
          <w:sz w:val="30"/>
          <w:szCs w:val="30"/>
        </w:rPr>
        <w:t>.</w:t>
      </w:r>
      <w:r w:rsidR="007501CC" w:rsidRPr="000B6164">
        <w:rPr>
          <w:rFonts w:ascii="Rockwell" w:eastAsia="Times New Roman" w:hAnsi="Rockwell" w:cs="Times New Roman"/>
          <w:sz w:val="30"/>
          <w:szCs w:val="30"/>
        </w:rPr>
        <w:t xml:space="preserve"> </w:t>
      </w:r>
    </w:p>
    <w:p w14:paraId="6DE01681" w14:textId="77777777" w:rsidR="00917A05" w:rsidRDefault="00917A05" w:rsidP="00D52E39">
      <w:pPr>
        <w:pStyle w:val="ListParagraph"/>
        <w:spacing w:line="360" w:lineRule="auto"/>
        <w:ind w:left="0"/>
        <w:jc w:val="both"/>
        <w:rPr>
          <w:rFonts w:ascii="Rockwell" w:eastAsia="Times New Roman" w:hAnsi="Rockwell" w:cs="Times New Roman"/>
          <w:b/>
          <w:bCs/>
          <w:sz w:val="30"/>
          <w:szCs w:val="30"/>
          <w:u w:val="single"/>
        </w:rPr>
      </w:pPr>
    </w:p>
    <w:p w14:paraId="7F012C8B" w14:textId="25EC31CC" w:rsidR="009350BB" w:rsidRPr="009350BB" w:rsidRDefault="009350BB" w:rsidP="00D52E39">
      <w:pPr>
        <w:pStyle w:val="ListParagraph"/>
        <w:spacing w:line="360" w:lineRule="auto"/>
        <w:ind w:left="0"/>
        <w:jc w:val="both"/>
        <w:rPr>
          <w:rFonts w:ascii="Rockwell" w:eastAsia="Times New Roman" w:hAnsi="Rockwell" w:cs="Times New Roman"/>
          <w:b/>
          <w:bCs/>
          <w:sz w:val="30"/>
          <w:szCs w:val="30"/>
          <w:u w:val="single"/>
          <w:lang w:val="en-US"/>
        </w:rPr>
      </w:pPr>
      <w:r w:rsidRPr="009350BB">
        <w:rPr>
          <w:rFonts w:ascii="Rockwell" w:eastAsia="Times New Roman" w:hAnsi="Rockwell" w:cs="Times New Roman"/>
          <w:b/>
          <w:bCs/>
          <w:sz w:val="30"/>
          <w:szCs w:val="30"/>
          <w:u w:val="single"/>
        </w:rPr>
        <w:t xml:space="preserve">Submissions </w:t>
      </w:r>
    </w:p>
    <w:p w14:paraId="255344C9" w14:textId="44C26E3C" w:rsidR="00C15711" w:rsidRPr="00917A05" w:rsidRDefault="000D70CC" w:rsidP="00C15711">
      <w:pPr>
        <w:pStyle w:val="ListParagraph"/>
        <w:numPr>
          <w:ilvl w:val="0"/>
          <w:numId w:val="1"/>
        </w:numPr>
        <w:spacing w:line="360" w:lineRule="auto"/>
        <w:ind w:left="0"/>
        <w:jc w:val="both"/>
        <w:rPr>
          <w:rFonts w:ascii="Rockwell" w:eastAsia="Times New Roman" w:hAnsi="Rockwell" w:cs="Times New Roman"/>
          <w:b/>
          <w:bCs/>
          <w:sz w:val="30"/>
          <w:szCs w:val="30"/>
          <w:lang w:val="en-US"/>
        </w:rPr>
      </w:pPr>
      <w:r>
        <w:rPr>
          <w:rFonts w:ascii="Rockwell" w:eastAsia="Times New Roman" w:hAnsi="Rockwell" w:cs="Times New Roman"/>
          <w:sz w:val="30"/>
          <w:szCs w:val="30"/>
        </w:rPr>
        <w:t xml:space="preserve">Learned Counsel </w:t>
      </w:r>
      <w:r w:rsidR="00D52E39">
        <w:rPr>
          <w:rFonts w:ascii="Rockwell" w:eastAsia="Times New Roman" w:hAnsi="Rockwell" w:cs="Times New Roman"/>
          <w:sz w:val="30"/>
          <w:szCs w:val="30"/>
        </w:rPr>
        <w:t xml:space="preserve">for the </w:t>
      </w:r>
      <w:r w:rsidR="00E518EF" w:rsidRPr="000B6164">
        <w:rPr>
          <w:rFonts w:ascii="Rockwell" w:eastAsia="Times New Roman" w:hAnsi="Rockwell" w:cs="Times New Roman"/>
          <w:sz w:val="30"/>
          <w:szCs w:val="30"/>
        </w:rPr>
        <w:t>Appellant</w:t>
      </w:r>
      <w:r w:rsidR="000C7989">
        <w:rPr>
          <w:rFonts w:ascii="Rockwell" w:eastAsia="Times New Roman" w:hAnsi="Rockwell" w:cs="Times New Roman"/>
          <w:sz w:val="30"/>
          <w:szCs w:val="30"/>
        </w:rPr>
        <w:t xml:space="preserve"> submitted that the</w:t>
      </w:r>
      <w:r w:rsidR="00933835">
        <w:rPr>
          <w:rFonts w:ascii="Rockwell" w:eastAsia="Times New Roman" w:hAnsi="Rockwell" w:cs="Times New Roman"/>
          <w:sz w:val="30"/>
          <w:szCs w:val="30"/>
        </w:rPr>
        <w:t xml:space="preserve"> trial court misapprehended the law and in doing so placed undue barriers to the appellant’s case and required the appellant to prove its case </w:t>
      </w:r>
      <w:r w:rsidR="00917A05">
        <w:rPr>
          <w:rFonts w:ascii="Rockwell" w:eastAsia="Times New Roman" w:hAnsi="Rockwell" w:cs="Times New Roman"/>
          <w:sz w:val="30"/>
          <w:szCs w:val="30"/>
        </w:rPr>
        <w:t>beyond the threshold required for</w:t>
      </w:r>
      <w:r w:rsidR="00933835">
        <w:rPr>
          <w:rFonts w:ascii="Rockwell" w:eastAsia="Times New Roman" w:hAnsi="Rockwell" w:cs="Times New Roman"/>
          <w:sz w:val="30"/>
          <w:szCs w:val="30"/>
        </w:rPr>
        <w:t xml:space="preserve"> civil matters before the small claims court. </w:t>
      </w:r>
      <w:r w:rsidR="00917A05">
        <w:rPr>
          <w:rFonts w:ascii="Rockwell" w:eastAsia="Times New Roman" w:hAnsi="Rockwell" w:cs="Times New Roman"/>
          <w:sz w:val="30"/>
          <w:szCs w:val="30"/>
        </w:rPr>
        <w:t xml:space="preserve">Counsel </w:t>
      </w:r>
      <w:r w:rsidR="00933835">
        <w:rPr>
          <w:rFonts w:ascii="Rockwell" w:eastAsia="Times New Roman" w:hAnsi="Rockwell" w:cs="Times New Roman"/>
          <w:sz w:val="30"/>
          <w:szCs w:val="30"/>
        </w:rPr>
        <w:t xml:space="preserve">placed </w:t>
      </w:r>
      <w:r w:rsidR="00917A05">
        <w:rPr>
          <w:rFonts w:ascii="Rockwell" w:eastAsia="Times New Roman" w:hAnsi="Rockwell" w:cs="Times New Roman"/>
          <w:sz w:val="30"/>
          <w:szCs w:val="30"/>
        </w:rPr>
        <w:t xml:space="preserve">reliance </w:t>
      </w:r>
      <w:r w:rsidR="00933835">
        <w:rPr>
          <w:rFonts w:ascii="Rockwell" w:eastAsia="Times New Roman" w:hAnsi="Rockwell" w:cs="Times New Roman"/>
          <w:sz w:val="30"/>
          <w:szCs w:val="30"/>
        </w:rPr>
        <w:t xml:space="preserve">on the case of </w:t>
      </w:r>
      <w:r w:rsidR="00933835" w:rsidRPr="00917A05">
        <w:rPr>
          <w:rFonts w:ascii="Rockwell" w:eastAsia="Times New Roman" w:hAnsi="Rockwell" w:cs="Times New Roman"/>
          <w:b/>
          <w:sz w:val="30"/>
          <w:szCs w:val="30"/>
        </w:rPr>
        <w:t>Chino General merchants Xtreem Ltd v</w:t>
      </w:r>
      <w:r w:rsidR="00917A05">
        <w:rPr>
          <w:rFonts w:ascii="Rockwell" w:eastAsia="Times New Roman" w:hAnsi="Rockwell" w:cs="Times New Roman"/>
          <w:b/>
          <w:sz w:val="30"/>
          <w:szCs w:val="30"/>
        </w:rPr>
        <w:t>s Chen Zhebit &amp; Another [2022] e</w:t>
      </w:r>
      <w:r w:rsidR="00933835" w:rsidRPr="00917A05">
        <w:rPr>
          <w:rFonts w:ascii="Rockwell" w:eastAsia="Times New Roman" w:hAnsi="Rockwell" w:cs="Times New Roman"/>
          <w:b/>
          <w:sz w:val="30"/>
          <w:szCs w:val="30"/>
        </w:rPr>
        <w:t>KLR</w:t>
      </w:r>
      <w:r w:rsidR="00917A05">
        <w:rPr>
          <w:rFonts w:ascii="Rockwell" w:eastAsia="Times New Roman" w:hAnsi="Rockwell" w:cs="Times New Roman"/>
          <w:b/>
          <w:sz w:val="30"/>
          <w:szCs w:val="30"/>
        </w:rPr>
        <w:t>.</w:t>
      </w:r>
    </w:p>
    <w:p w14:paraId="4F486233" w14:textId="77777777" w:rsidR="00917A05" w:rsidRPr="00C15711" w:rsidRDefault="00917A05" w:rsidP="00917A05">
      <w:pPr>
        <w:pStyle w:val="ListParagraph"/>
        <w:spacing w:line="360" w:lineRule="auto"/>
        <w:ind w:left="0"/>
        <w:jc w:val="both"/>
        <w:rPr>
          <w:rFonts w:ascii="Rockwell" w:eastAsia="Times New Roman" w:hAnsi="Rockwell" w:cs="Times New Roman"/>
          <w:b/>
          <w:bCs/>
          <w:sz w:val="30"/>
          <w:szCs w:val="30"/>
          <w:lang w:val="en-US"/>
        </w:rPr>
      </w:pPr>
    </w:p>
    <w:p w14:paraId="401B61C6" w14:textId="44D66436" w:rsidR="00917A05" w:rsidRDefault="00C15711" w:rsidP="00917A05">
      <w:pPr>
        <w:pStyle w:val="ListParagraph"/>
        <w:numPr>
          <w:ilvl w:val="0"/>
          <w:numId w:val="1"/>
        </w:numPr>
        <w:spacing w:line="360" w:lineRule="auto"/>
        <w:ind w:left="0"/>
        <w:jc w:val="both"/>
        <w:rPr>
          <w:rFonts w:ascii="Rockwell" w:eastAsia="Times New Roman" w:hAnsi="Rockwell" w:cs="Times New Roman"/>
          <w:sz w:val="30"/>
          <w:szCs w:val="30"/>
          <w:lang w:val="en-US"/>
        </w:rPr>
      </w:pPr>
      <w:r>
        <w:rPr>
          <w:rFonts w:ascii="Rockwell" w:eastAsia="Times New Roman" w:hAnsi="Rockwell" w:cs="Times New Roman"/>
          <w:sz w:val="30"/>
          <w:szCs w:val="30"/>
          <w:lang w:val="en-US"/>
        </w:rPr>
        <w:t xml:space="preserve"> It was further submitted </w:t>
      </w:r>
      <w:r w:rsidR="00917A05">
        <w:rPr>
          <w:rFonts w:ascii="Rockwell" w:eastAsia="Times New Roman" w:hAnsi="Rockwell" w:cs="Times New Roman"/>
          <w:sz w:val="30"/>
          <w:szCs w:val="30"/>
          <w:lang w:val="en-US"/>
        </w:rPr>
        <w:t>that the A</w:t>
      </w:r>
      <w:r w:rsidR="00933835">
        <w:rPr>
          <w:rFonts w:ascii="Rockwell" w:eastAsia="Times New Roman" w:hAnsi="Rockwell" w:cs="Times New Roman"/>
          <w:sz w:val="30"/>
          <w:szCs w:val="30"/>
          <w:lang w:val="en-US"/>
        </w:rPr>
        <w:t>ppellant ple</w:t>
      </w:r>
      <w:r w:rsidR="00917A05">
        <w:rPr>
          <w:rFonts w:ascii="Rockwell" w:eastAsia="Times New Roman" w:hAnsi="Rockwell" w:cs="Times New Roman"/>
          <w:sz w:val="30"/>
          <w:szCs w:val="30"/>
          <w:lang w:val="en-US"/>
        </w:rPr>
        <w:t>aded and proved his case on a</w:t>
      </w:r>
      <w:r w:rsidR="00933835">
        <w:rPr>
          <w:rFonts w:ascii="Rockwell" w:eastAsia="Times New Roman" w:hAnsi="Rockwell" w:cs="Times New Roman"/>
          <w:sz w:val="30"/>
          <w:szCs w:val="30"/>
          <w:lang w:val="en-US"/>
        </w:rPr>
        <w:t xml:space="preserve"> preponderance of evidence</w:t>
      </w:r>
      <w:r w:rsidR="00917A05">
        <w:rPr>
          <w:rFonts w:ascii="Rockwell" w:eastAsia="Times New Roman" w:hAnsi="Rockwell" w:cs="Times New Roman"/>
          <w:sz w:val="30"/>
          <w:szCs w:val="30"/>
          <w:lang w:val="en-US"/>
        </w:rPr>
        <w:t xml:space="preserve"> and that the evidence was not controverted by the R</w:t>
      </w:r>
      <w:r w:rsidR="00933835">
        <w:rPr>
          <w:rFonts w:ascii="Rockwell" w:eastAsia="Times New Roman" w:hAnsi="Rockwell" w:cs="Times New Roman"/>
          <w:sz w:val="30"/>
          <w:szCs w:val="30"/>
          <w:lang w:val="en-US"/>
        </w:rPr>
        <w:t xml:space="preserve">espondent </w:t>
      </w:r>
      <w:r w:rsidR="00917A05">
        <w:rPr>
          <w:rFonts w:ascii="Rockwell" w:eastAsia="Times New Roman" w:hAnsi="Rockwell" w:cs="Times New Roman"/>
          <w:sz w:val="30"/>
          <w:szCs w:val="30"/>
          <w:lang w:val="en-US"/>
        </w:rPr>
        <w:t>as he</w:t>
      </w:r>
      <w:r w:rsidR="00933835">
        <w:rPr>
          <w:rFonts w:ascii="Rockwell" w:eastAsia="Times New Roman" w:hAnsi="Rockwell" w:cs="Times New Roman"/>
          <w:sz w:val="30"/>
          <w:szCs w:val="30"/>
          <w:lang w:val="en-US"/>
        </w:rPr>
        <w:t xml:space="preserve"> did not file any evidence or even</w:t>
      </w:r>
      <w:r w:rsidR="00917A05">
        <w:rPr>
          <w:rFonts w:ascii="Rockwell" w:eastAsia="Times New Roman" w:hAnsi="Rockwell" w:cs="Times New Roman"/>
          <w:sz w:val="30"/>
          <w:szCs w:val="30"/>
          <w:lang w:val="en-US"/>
        </w:rPr>
        <w:t xml:space="preserve"> call </w:t>
      </w:r>
      <w:r w:rsidR="00933835">
        <w:rPr>
          <w:rFonts w:ascii="Rockwell" w:eastAsia="Times New Roman" w:hAnsi="Rockwell" w:cs="Times New Roman"/>
          <w:sz w:val="30"/>
          <w:szCs w:val="30"/>
          <w:lang w:val="en-US"/>
        </w:rPr>
        <w:t xml:space="preserve">a witness </w:t>
      </w:r>
      <w:r w:rsidR="00917A05">
        <w:rPr>
          <w:rFonts w:ascii="Rockwell" w:eastAsia="Times New Roman" w:hAnsi="Rockwell" w:cs="Times New Roman"/>
          <w:sz w:val="30"/>
          <w:szCs w:val="30"/>
          <w:lang w:val="en-US"/>
        </w:rPr>
        <w:t>at the hearing.</w:t>
      </w:r>
    </w:p>
    <w:p w14:paraId="32EFE2D4" w14:textId="77777777" w:rsidR="00917A05" w:rsidRPr="00917A05" w:rsidRDefault="00917A05" w:rsidP="00917A05">
      <w:pPr>
        <w:pStyle w:val="ListParagraph"/>
        <w:rPr>
          <w:rFonts w:ascii="Rockwell" w:eastAsia="Times New Roman" w:hAnsi="Rockwell" w:cs="Times New Roman"/>
          <w:sz w:val="30"/>
          <w:szCs w:val="30"/>
        </w:rPr>
      </w:pPr>
    </w:p>
    <w:p w14:paraId="702C856C" w14:textId="77777777" w:rsidR="00A65E45" w:rsidRPr="00A65E45" w:rsidRDefault="009216F2" w:rsidP="00A65E45">
      <w:pPr>
        <w:pStyle w:val="ListParagraph"/>
        <w:numPr>
          <w:ilvl w:val="0"/>
          <w:numId w:val="1"/>
        </w:numPr>
        <w:spacing w:line="360" w:lineRule="auto"/>
        <w:ind w:left="0"/>
        <w:jc w:val="both"/>
        <w:rPr>
          <w:rFonts w:ascii="Rockwell" w:eastAsia="Times New Roman" w:hAnsi="Rockwell" w:cs="Times New Roman"/>
          <w:sz w:val="30"/>
          <w:szCs w:val="30"/>
          <w:lang w:val="en-US"/>
        </w:rPr>
      </w:pPr>
      <w:r w:rsidRPr="00917A05">
        <w:rPr>
          <w:rFonts w:ascii="Rockwell" w:eastAsia="Times New Roman" w:hAnsi="Rockwell" w:cs="Times New Roman"/>
          <w:sz w:val="30"/>
          <w:szCs w:val="30"/>
        </w:rPr>
        <w:t xml:space="preserve">Counsel urged </w:t>
      </w:r>
      <w:r w:rsidR="00917A05">
        <w:rPr>
          <w:rFonts w:ascii="Rockwell" w:eastAsia="Times New Roman" w:hAnsi="Rockwell" w:cs="Times New Roman"/>
          <w:sz w:val="30"/>
          <w:szCs w:val="30"/>
        </w:rPr>
        <w:t>this</w:t>
      </w:r>
      <w:r w:rsidR="00933835" w:rsidRPr="00917A05">
        <w:rPr>
          <w:rFonts w:ascii="Rockwell" w:eastAsia="Times New Roman" w:hAnsi="Rockwell" w:cs="Times New Roman"/>
          <w:sz w:val="30"/>
          <w:szCs w:val="30"/>
        </w:rPr>
        <w:t xml:space="preserve"> court to </w:t>
      </w:r>
      <w:r w:rsidR="00917A05">
        <w:rPr>
          <w:rFonts w:ascii="Rockwell" w:eastAsia="Times New Roman" w:hAnsi="Rockwell" w:cs="Times New Roman"/>
          <w:sz w:val="30"/>
          <w:szCs w:val="30"/>
        </w:rPr>
        <w:t>allow</w:t>
      </w:r>
      <w:r w:rsidRPr="00917A05">
        <w:rPr>
          <w:rFonts w:ascii="Rockwell" w:eastAsia="Times New Roman" w:hAnsi="Rockwell" w:cs="Times New Roman"/>
          <w:sz w:val="30"/>
          <w:szCs w:val="30"/>
        </w:rPr>
        <w:t xml:space="preserve"> the appeal</w:t>
      </w:r>
      <w:r w:rsidR="00917A05">
        <w:rPr>
          <w:rFonts w:ascii="Rockwell" w:eastAsia="Times New Roman" w:hAnsi="Rockwell" w:cs="Times New Roman"/>
          <w:sz w:val="30"/>
          <w:szCs w:val="30"/>
        </w:rPr>
        <w:t>.</w:t>
      </w:r>
    </w:p>
    <w:p w14:paraId="767AF2FC" w14:textId="77777777" w:rsidR="00A65E45" w:rsidRPr="00A65E45" w:rsidRDefault="00A65E45" w:rsidP="00A65E45">
      <w:pPr>
        <w:pStyle w:val="ListParagraph"/>
        <w:rPr>
          <w:rFonts w:ascii="Rockwell" w:eastAsia="Times New Roman" w:hAnsi="Rockwell" w:cs="Times New Roman"/>
          <w:sz w:val="30"/>
          <w:szCs w:val="30"/>
        </w:rPr>
      </w:pPr>
    </w:p>
    <w:p w14:paraId="6EFB0AF2" w14:textId="77777777" w:rsidR="00FB48DC" w:rsidRPr="00FB48DC" w:rsidRDefault="00A65E45" w:rsidP="00FB48DC">
      <w:pPr>
        <w:pStyle w:val="ListParagraph"/>
        <w:numPr>
          <w:ilvl w:val="0"/>
          <w:numId w:val="1"/>
        </w:numPr>
        <w:spacing w:line="360" w:lineRule="auto"/>
        <w:ind w:left="0"/>
        <w:jc w:val="both"/>
        <w:rPr>
          <w:rFonts w:ascii="Rockwell" w:eastAsia="Times New Roman" w:hAnsi="Rockwell" w:cs="Times New Roman"/>
          <w:b/>
          <w:sz w:val="30"/>
          <w:szCs w:val="30"/>
          <w:lang w:val="en-US"/>
        </w:rPr>
      </w:pPr>
      <w:r>
        <w:rPr>
          <w:rFonts w:ascii="Rockwell" w:eastAsia="Times New Roman" w:hAnsi="Rockwell" w:cs="Times New Roman"/>
          <w:sz w:val="30"/>
          <w:szCs w:val="30"/>
        </w:rPr>
        <w:t xml:space="preserve"> For the Respondent, it was </w:t>
      </w:r>
      <w:r w:rsidR="006D2657" w:rsidRPr="00A65E45">
        <w:rPr>
          <w:rFonts w:ascii="Rockwell" w:eastAsia="Times New Roman" w:hAnsi="Rockwell" w:cs="Times New Roman"/>
          <w:sz w:val="30"/>
          <w:szCs w:val="30"/>
        </w:rPr>
        <w:t>submitted that</w:t>
      </w:r>
      <w:r w:rsidR="00FB48DC">
        <w:rPr>
          <w:rFonts w:ascii="Rockwell" w:eastAsia="Times New Roman" w:hAnsi="Rockwell" w:cs="Times New Roman"/>
          <w:sz w:val="30"/>
          <w:szCs w:val="30"/>
        </w:rPr>
        <w:t xml:space="preserve"> the A</w:t>
      </w:r>
      <w:r w:rsidR="00933835" w:rsidRPr="00A65E45">
        <w:rPr>
          <w:rFonts w:ascii="Rockwell" w:eastAsia="Times New Roman" w:hAnsi="Rockwell" w:cs="Times New Roman"/>
          <w:sz w:val="30"/>
          <w:szCs w:val="30"/>
        </w:rPr>
        <w:t xml:space="preserve">ppellant </w:t>
      </w:r>
      <w:r w:rsidR="00FB48DC">
        <w:rPr>
          <w:rFonts w:ascii="Rockwell" w:eastAsia="Times New Roman" w:hAnsi="Rockwell" w:cs="Times New Roman"/>
          <w:sz w:val="30"/>
          <w:szCs w:val="30"/>
        </w:rPr>
        <w:t>did not</w:t>
      </w:r>
      <w:r w:rsidR="00933835" w:rsidRPr="00A65E45">
        <w:rPr>
          <w:rFonts w:ascii="Rockwell" w:eastAsia="Times New Roman" w:hAnsi="Rockwell" w:cs="Times New Roman"/>
          <w:sz w:val="30"/>
          <w:szCs w:val="30"/>
        </w:rPr>
        <w:t xml:space="preserve"> discharge the bur</w:t>
      </w:r>
      <w:r w:rsidR="00FB48DC">
        <w:rPr>
          <w:rFonts w:ascii="Rockwell" w:eastAsia="Times New Roman" w:hAnsi="Rockwell" w:cs="Times New Roman"/>
          <w:sz w:val="30"/>
          <w:szCs w:val="30"/>
        </w:rPr>
        <w:t xml:space="preserve">den of proof as required under </w:t>
      </w:r>
      <w:r w:rsidR="00FB48DC" w:rsidRPr="00FB48DC">
        <w:rPr>
          <w:rFonts w:ascii="Rockwell" w:eastAsia="Times New Roman" w:hAnsi="Rockwell" w:cs="Times New Roman"/>
          <w:b/>
          <w:sz w:val="30"/>
          <w:szCs w:val="30"/>
        </w:rPr>
        <w:t>S</w:t>
      </w:r>
      <w:r w:rsidR="00933835" w:rsidRPr="00FB48DC">
        <w:rPr>
          <w:rFonts w:ascii="Rockwell" w:eastAsia="Times New Roman" w:hAnsi="Rockwell" w:cs="Times New Roman"/>
          <w:b/>
          <w:sz w:val="30"/>
          <w:szCs w:val="30"/>
        </w:rPr>
        <w:t>ection 107 and 109 of the Evidence Act.</w:t>
      </w:r>
      <w:r w:rsidR="00FB48DC">
        <w:rPr>
          <w:rFonts w:ascii="Rockwell" w:eastAsia="Times New Roman" w:hAnsi="Rockwell" w:cs="Times New Roman"/>
          <w:b/>
          <w:sz w:val="30"/>
          <w:szCs w:val="30"/>
        </w:rPr>
        <w:t xml:space="preserve">  </w:t>
      </w:r>
      <w:r w:rsidR="00933835" w:rsidRPr="00FB48DC">
        <w:rPr>
          <w:rFonts w:ascii="Rockwell" w:eastAsia="Times New Roman" w:hAnsi="Rockwell" w:cs="Times New Roman"/>
          <w:sz w:val="30"/>
          <w:szCs w:val="30"/>
        </w:rPr>
        <w:t xml:space="preserve">Counsel </w:t>
      </w:r>
      <w:r w:rsidR="00FB48DC">
        <w:rPr>
          <w:rFonts w:ascii="Rockwell" w:eastAsia="Times New Roman" w:hAnsi="Rockwell" w:cs="Times New Roman"/>
          <w:sz w:val="30"/>
          <w:szCs w:val="30"/>
        </w:rPr>
        <w:t xml:space="preserve">for the Respondent </w:t>
      </w:r>
      <w:r w:rsidR="00933835" w:rsidRPr="00FB48DC">
        <w:rPr>
          <w:rFonts w:ascii="Rockwell" w:eastAsia="Times New Roman" w:hAnsi="Rockwell" w:cs="Times New Roman"/>
          <w:sz w:val="30"/>
          <w:szCs w:val="30"/>
        </w:rPr>
        <w:t xml:space="preserve">relied on the case of </w:t>
      </w:r>
      <w:r w:rsidR="00933835" w:rsidRPr="00FB48DC">
        <w:rPr>
          <w:rFonts w:ascii="Rockwell" w:eastAsia="Times New Roman" w:hAnsi="Rockwell" w:cs="Times New Roman"/>
          <w:b/>
          <w:sz w:val="30"/>
          <w:szCs w:val="30"/>
        </w:rPr>
        <w:t xml:space="preserve">Ogwari vs Hersi [2023] KEHC 20111 </w:t>
      </w:r>
      <w:r w:rsidR="00021C6C" w:rsidRPr="00FB48DC">
        <w:rPr>
          <w:rFonts w:ascii="Rockwell" w:eastAsia="Times New Roman" w:hAnsi="Rockwell" w:cs="Times New Roman"/>
          <w:sz w:val="30"/>
          <w:szCs w:val="30"/>
        </w:rPr>
        <w:t>and</w:t>
      </w:r>
      <w:r w:rsidR="00021C6C" w:rsidRPr="00FB48DC">
        <w:rPr>
          <w:rFonts w:ascii="Rockwell" w:eastAsia="Times New Roman" w:hAnsi="Rockwell" w:cs="Times New Roman"/>
          <w:b/>
          <w:sz w:val="30"/>
          <w:szCs w:val="30"/>
        </w:rPr>
        <w:t xml:space="preserve"> David Mwangi Kariuki &amp; Another vs Stephen Mwangi &amp; Anor (2017)</w:t>
      </w:r>
      <w:r w:rsidR="009216F2" w:rsidRPr="00FB48DC">
        <w:rPr>
          <w:rFonts w:ascii="Rockwell" w:eastAsia="Times New Roman" w:hAnsi="Rockwell" w:cs="Times New Roman"/>
          <w:b/>
          <w:sz w:val="30"/>
          <w:szCs w:val="30"/>
        </w:rPr>
        <w:t>.</w:t>
      </w:r>
    </w:p>
    <w:p w14:paraId="37BA8A9E" w14:textId="77777777" w:rsidR="00FB48DC" w:rsidRPr="00FB48DC" w:rsidRDefault="00FB48DC" w:rsidP="00FB48DC">
      <w:pPr>
        <w:pStyle w:val="ListParagraph"/>
        <w:rPr>
          <w:rFonts w:ascii="Rockwell" w:eastAsia="Times New Roman" w:hAnsi="Rockwell" w:cs="Times New Roman"/>
          <w:sz w:val="30"/>
          <w:szCs w:val="30"/>
        </w:rPr>
      </w:pPr>
    </w:p>
    <w:p w14:paraId="38674489" w14:textId="28CB9E1F" w:rsidR="009216F2" w:rsidRPr="00FB48DC" w:rsidRDefault="00FB48DC" w:rsidP="00FB48DC">
      <w:pPr>
        <w:pStyle w:val="ListParagraph"/>
        <w:numPr>
          <w:ilvl w:val="0"/>
          <w:numId w:val="1"/>
        </w:numPr>
        <w:spacing w:line="360" w:lineRule="auto"/>
        <w:ind w:left="0"/>
        <w:jc w:val="both"/>
        <w:rPr>
          <w:rFonts w:ascii="Rockwell" w:eastAsia="Times New Roman" w:hAnsi="Rockwell" w:cs="Times New Roman"/>
          <w:b/>
          <w:sz w:val="30"/>
          <w:szCs w:val="30"/>
          <w:lang w:val="en-US"/>
        </w:rPr>
      </w:pPr>
      <w:r>
        <w:rPr>
          <w:rFonts w:ascii="Rockwell" w:eastAsia="Times New Roman" w:hAnsi="Rockwell" w:cs="Times New Roman"/>
          <w:sz w:val="30"/>
          <w:szCs w:val="30"/>
        </w:rPr>
        <w:lastRenderedPageBreak/>
        <w:t>Counsel</w:t>
      </w:r>
      <w:r w:rsidR="009216F2" w:rsidRPr="00FB48DC">
        <w:rPr>
          <w:rFonts w:ascii="Rockwell" w:eastAsia="Times New Roman" w:hAnsi="Rockwell" w:cs="Times New Roman"/>
          <w:sz w:val="30"/>
          <w:szCs w:val="30"/>
        </w:rPr>
        <w:t xml:space="preserve"> also submitted that the </w:t>
      </w:r>
      <w:r w:rsidR="00021C6C" w:rsidRPr="00FB48DC">
        <w:rPr>
          <w:rFonts w:ascii="Rockwell" w:eastAsia="Times New Roman" w:hAnsi="Rockwell" w:cs="Times New Roman"/>
          <w:sz w:val="30"/>
          <w:szCs w:val="30"/>
        </w:rPr>
        <w:t xml:space="preserve">appellant’s claim was dismissed on account of failure to plead and prove negligence. </w:t>
      </w:r>
      <w:r>
        <w:rPr>
          <w:rFonts w:ascii="Rockwell" w:eastAsia="Times New Roman" w:hAnsi="Rockwell" w:cs="Times New Roman"/>
          <w:sz w:val="30"/>
          <w:szCs w:val="30"/>
        </w:rPr>
        <w:t>Counsel urged this court to</w:t>
      </w:r>
      <w:r w:rsidR="00021C6C" w:rsidRPr="00FB48DC">
        <w:rPr>
          <w:rFonts w:ascii="Rockwell" w:eastAsia="Times New Roman" w:hAnsi="Rockwell" w:cs="Times New Roman"/>
          <w:sz w:val="30"/>
          <w:szCs w:val="30"/>
        </w:rPr>
        <w:t xml:space="preserve"> dismiss the appeal with cost</w:t>
      </w:r>
      <w:r>
        <w:rPr>
          <w:rFonts w:ascii="Rockwell" w:eastAsia="Times New Roman" w:hAnsi="Rockwell" w:cs="Times New Roman"/>
          <w:sz w:val="30"/>
          <w:szCs w:val="30"/>
        </w:rPr>
        <w:t>s.</w:t>
      </w:r>
    </w:p>
    <w:p w14:paraId="45ED9213" w14:textId="77777777" w:rsidR="00FB48DC" w:rsidRPr="00FB48DC" w:rsidRDefault="00FB48DC" w:rsidP="00FB48DC">
      <w:pPr>
        <w:pStyle w:val="ListParagraph"/>
        <w:rPr>
          <w:rFonts w:ascii="Rockwell" w:eastAsia="Times New Roman" w:hAnsi="Rockwell" w:cs="Times New Roman"/>
          <w:b/>
          <w:sz w:val="30"/>
          <w:szCs w:val="30"/>
          <w:lang w:val="en-US"/>
        </w:rPr>
      </w:pPr>
    </w:p>
    <w:p w14:paraId="267DDF55" w14:textId="77777777" w:rsidR="00FB48DC" w:rsidRPr="00FB48DC" w:rsidRDefault="00FB48DC" w:rsidP="00FB48DC">
      <w:pPr>
        <w:pStyle w:val="ListParagraph"/>
        <w:spacing w:line="360" w:lineRule="auto"/>
        <w:ind w:left="0"/>
        <w:jc w:val="both"/>
        <w:rPr>
          <w:rFonts w:ascii="Rockwell" w:eastAsia="Times New Roman" w:hAnsi="Rockwell" w:cs="Times New Roman"/>
          <w:b/>
          <w:sz w:val="30"/>
          <w:szCs w:val="30"/>
          <w:lang w:val="en-US"/>
        </w:rPr>
      </w:pPr>
    </w:p>
    <w:p w14:paraId="24EBE0DF" w14:textId="1C9A2C0D" w:rsidR="00F40D2E" w:rsidRPr="00FB48DC" w:rsidRDefault="006D2657" w:rsidP="00FB48DC">
      <w:pPr>
        <w:pStyle w:val="ListParagraph"/>
        <w:spacing w:line="360" w:lineRule="auto"/>
        <w:ind w:left="-90"/>
        <w:jc w:val="both"/>
        <w:rPr>
          <w:rFonts w:ascii="Rockwell" w:eastAsia="Times New Roman" w:hAnsi="Rockwell" w:cs="Times New Roman"/>
          <w:b/>
          <w:sz w:val="30"/>
          <w:szCs w:val="30"/>
          <w:u w:val="single"/>
          <w:lang w:val="en-US"/>
        </w:rPr>
      </w:pPr>
      <w:r w:rsidRPr="009216F2">
        <w:rPr>
          <w:rFonts w:ascii="Rockwell" w:eastAsia="Times New Roman" w:hAnsi="Rockwell" w:cs="Times New Roman"/>
          <w:sz w:val="30"/>
          <w:szCs w:val="30"/>
        </w:rPr>
        <w:t xml:space="preserve"> </w:t>
      </w:r>
      <w:r w:rsidR="00F40D2E" w:rsidRPr="009216F2">
        <w:rPr>
          <w:rFonts w:ascii="Rockwell" w:eastAsia="Times New Roman" w:hAnsi="Rockwell" w:cs="Times New Roman"/>
          <w:b/>
          <w:sz w:val="30"/>
          <w:szCs w:val="30"/>
          <w:u w:val="single"/>
          <w:lang w:val="en-US"/>
        </w:rPr>
        <w:t>Analysis and determination</w:t>
      </w:r>
    </w:p>
    <w:p w14:paraId="7CDCF6C2" w14:textId="77777777" w:rsidR="00FB48DC" w:rsidRDefault="005E12C8" w:rsidP="00FB48DC">
      <w:pPr>
        <w:pStyle w:val="ListParagraph"/>
        <w:numPr>
          <w:ilvl w:val="0"/>
          <w:numId w:val="1"/>
        </w:numPr>
        <w:spacing w:line="360" w:lineRule="auto"/>
        <w:ind w:left="0" w:hanging="477"/>
        <w:jc w:val="both"/>
        <w:rPr>
          <w:rFonts w:ascii="Rockwell" w:eastAsia="Times New Roman" w:hAnsi="Rockwell" w:cs="Times New Roman"/>
          <w:sz w:val="30"/>
          <w:szCs w:val="30"/>
          <w:lang w:val="en-US"/>
        </w:rPr>
      </w:pPr>
      <w:r>
        <w:rPr>
          <w:rFonts w:ascii="Rockwell" w:eastAsia="Times New Roman" w:hAnsi="Rockwell" w:cs="Times New Roman"/>
          <w:sz w:val="30"/>
          <w:szCs w:val="30"/>
        </w:rPr>
        <w:t xml:space="preserve"> T</w:t>
      </w:r>
      <w:r w:rsidRPr="005E12C8">
        <w:rPr>
          <w:rFonts w:ascii="Rockwell" w:eastAsia="Times New Roman" w:hAnsi="Rockwell" w:cs="Times New Roman"/>
          <w:sz w:val="30"/>
          <w:szCs w:val="30"/>
          <w:lang w:val="en-KE"/>
        </w:rPr>
        <w:t xml:space="preserve">his </w:t>
      </w:r>
      <w:r w:rsidR="00FB48DC">
        <w:rPr>
          <w:rFonts w:ascii="Rockwell" w:eastAsia="Times New Roman" w:hAnsi="Rockwell" w:cs="Times New Roman"/>
          <w:sz w:val="30"/>
          <w:szCs w:val="30"/>
          <w:lang w:val="en-US"/>
        </w:rPr>
        <w:t xml:space="preserve">being a first appeal the </w:t>
      </w:r>
      <w:r w:rsidRPr="005E12C8">
        <w:rPr>
          <w:rFonts w:ascii="Rockwell" w:eastAsia="Times New Roman" w:hAnsi="Rockwell" w:cs="Times New Roman"/>
          <w:sz w:val="30"/>
          <w:szCs w:val="30"/>
          <w:lang w:val="en-KE"/>
        </w:rPr>
        <w:t xml:space="preserve">court is under a duty to delve </w:t>
      </w:r>
      <w:r w:rsidR="00FB48DC">
        <w:rPr>
          <w:rFonts w:ascii="Rockwell" w:eastAsia="Times New Roman" w:hAnsi="Rockwell" w:cs="Times New Roman"/>
          <w:sz w:val="30"/>
          <w:szCs w:val="30"/>
          <w:lang w:val="en-US"/>
        </w:rPr>
        <w:t>into the evidence in the court below,</w:t>
      </w:r>
      <w:r w:rsidRPr="005E12C8">
        <w:rPr>
          <w:rFonts w:ascii="Rockwell" w:eastAsia="Times New Roman" w:hAnsi="Rockwell" w:cs="Times New Roman"/>
          <w:sz w:val="30"/>
          <w:szCs w:val="30"/>
          <w:lang w:val="en-KE"/>
        </w:rPr>
        <w:t xml:space="preserve"> analyse </w:t>
      </w:r>
      <w:r w:rsidR="00FB48DC">
        <w:rPr>
          <w:rFonts w:ascii="Rockwell" w:eastAsia="Times New Roman" w:hAnsi="Rockwell" w:cs="Times New Roman"/>
          <w:sz w:val="30"/>
          <w:szCs w:val="30"/>
          <w:lang w:val="en-US"/>
        </w:rPr>
        <w:t>it</w:t>
      </w:r>
      <w:r w:rsidRPr="005E12C8">
        <w:rPr>
          <w:rFonts w:ascii="Rockwell" w:eastAsia="Times New Roman" w:hAnsi="Rockwell" w:cs="Times New Roman"/>
          <w:sz w:val="30"/>
          <w:szCs w:val="30"/>
          <w:lang w:val="en-KE"/>
        </w:rPr>
        <w:t xml:space="preserve">, evaluate it and arrive at its own independent conclusions, but always </w:t>
      </w:r>
      <w:r w:rsidR="00FB48DC">
        <w:rPr>
          <w:rFonts w:ascii="Rockwell" w:eastAsia="Times New Roman" w:hAnsi="Rockwell" w:cs="Times New Roman"/>
          <w:sz w:val="30"/>
          <w:szCs w:val="30"/>
          <w:lang w:val="en-US"/>
        </w:rPr>
        <w:t>bearing in mind that it did not hear or see the witnesses.</w:t>
      </w:r>
    </w:p>
    <w:p w14:paraId="6D5073B7" w14:textId="77777777" w:rsidR="00FB48DC" w:rsidRDefault="00FB48DC" w:rsidP="00FB48DC">
      <w:pPr>
        <w:pStyle w:val="ListParagraph"/>
        <w:spacing w:line="360" w:lineRule="auto"/>
        <w:ind w:left="0"/>
        <w:jc w:val="both"/>
        <w:rPr>
          <w:rFonts w:ascii="Rockwell" w:eastAsia="Times New Roman" w:hAnsi="Rockwell" w:cs="Times New Roman"/>
          <w:sz w:val="30"/>
          <w:szCs w:val="30"/>
          <w:lang w:val="en-US"/>
        </w:rPr>
      </w:pPr>
    </w:p>
    <w:p w14:paraId="06C1A735" w14:textId="43F3715A" w:rsidR="00C707CC" w:rsidRPr="00FB48DC" w:rsidRDefault="00FB48DC" w:rsidP="00FB48DC">
      <w:pPr>
        <w:pStyle w:val="ListParagraph"/>
        <w:numPr>
          <w:ilvl w:val="0"/>
          <w:numId w:val="1"/>
        </w:numPr>
        <w:spacing w:line="360" w:lineRule="auto"/>
        <w:ind w:left="0" w:hanging="477"/>
        <w:jc w:val="both"/>
        <w:rPr>
          <w:rFonts w:ascii="Rockwell" w:eastAsia="Times New Roman" w:hAnsi="Rockwell" w:cs="Times New Roman"/>
          <w:sz w:val="30"/>
          <w:szCs w:val="30"/>
          <w:lang w:val="en-US"/>
        </w:rPr>
      </w:pPr>
      <w:r w:rsidRPr="00FB48DC">
        <w:rPr>
          <w:rFonts w:ascii="Rockwell" w:eastAsia="Times New Roman" w:hAnsi="Rockwell" w:cs="Times New Roman"/>
          <w:sz w:val="30"/>
          <w:szCs w:val="30"/>
        </w:rPr>
        <w:t>An</w:t>
      </w:r>
      <w:r w:rsidR="00C707CC" w:rsidRPr="00FB48DC">
        <w:rPr>
          <w:rFonts w:ascii="Rockwell" w:eastAsia="Times New Roman" w:hAnsi="Rockwell" w:cs="Times New Roman"/>
          <w:sz w:val="30"/>
          <w:szCs w:val="30"/>
        </w:rPr>
        <w:t xml:space="preserve"> appeal from Small Claims Court</w:t>
      </w:r>
      <w:r w:rsidRPr="00FB48DC">
        <w:rPr>
          <w:rFonts w:ascii="Rockwell" w:eastAsia="Times New Roman" w:hAnsi="Rockwell" w:cs="Times New Roman"/>
          <w:sz w:val="30"/>
          <w:szCs w:val="30"/>
        </w:rPr>
        <w:t xml:space="preserve"> lies to this court</w:t>
      </w:r>
      <w:r w:rsidR="00C707CC" w:rsidRPr="00FB48DC">
        <w:rPr>
          <w:rFonts w:ascii="Rockwell" w:eastAsia="Times New Roman" w:hAnsi="Rockwell" w:cs="Times New Roman"/>
          <w:sz w:val="30"/>
          <w:szCs w:val="30"/>
        </w:rPr>
        <w:t xml:space="preserve"> is on issues of law only. This is pursuant to </w:t>
      </w:r>
      <w:r w:rsidR="00C707CC" w:rsidRPr="00FB48DC">
        <w:rPr>
          <w:rFonts w:ascii="Rockwell" w:eastAsia="Times New Roman" w:hAnsi="Rockwell" w:cs="Times New Roman"/>
          <w:b/>
          <w:sz w:val="30"/>
          <w:szCs w:val="30"/>
        </w:rPr>
        <w:t xml:space="preserve">Section 38 of the Small Claims Court </w:t>
      </w:r>
      <w:r w:rsidRPr="00FB48DC">
        <w:rPr>
          <w:rFonts w:ascii="Rockwell" w:eastAsia="Times New Roman" w:hAnsi="Rockwell" w:cs="Times New Roman"/>
          <w:b/>
          <w:sz w:val="30"/>
          <w:szCs w:val="30"/>
        </w:rPr>
        <w:t>Act</w:t>
      </w:r>
      <w:r w:rsidRPr="00FB48DC">
        <w:rPr>
          <w:rFonts w:ascii="Rockwell" w:eastAsia="Times New Roman" w:hAnsi="Rockwell" w:cs="Times New Roman"/>
          <w:sz w:val="30"/>
          <w:szCs w:val="30"/>
        </w:rPr>
        <w:t xml:space="preserve"> </w:t>
      </w:r>
      <w:r w:rsidR="00C707CC" w:rsidRPr="00FB48DC">
        <w:rPr>
          <w:rFonts w:ascii="Rockwell" w:eastAsia="Times New Roman" w:hAnsi="Rockwell" w:cs="Times New Roman"/>
          <w:sz w:val="30"/>
          <w:szCs w:val="30"/>
        </w:rPr>
        <w:t>which provides as follows:</w:t>
      </w:r>
    </w:p>
    <w:p w14:paraId="6C819127" w14:textId="475F3EB0" w:rsidR="00FB48DC" w:rsidRDefault="00C707CC" w:rsidP="00FB48DC">
      <w:pPr>
        <w:pStyle w:val="ListParagraph"/>
        <w:spacing w:line="276" w:lineRule="auto"/>
        <w:ind w:left="567"/>
        <w:jc w:val="both"/>
        <w:rPr>
          <w:rFonts w:ascii="Rockwell" w:eastAsia="Times New Roman" w:hAnsi="Rockwell" w:cs="Times New Roman"/>
          <w:b/>
          <w:i/>
          <w:sz w:val="30"/>
          <w:szCs w:val="30"/>
        </w:rPr>
      </w:pPr>
      <w:r w:rsidRPr="00C707CC">
        <w:rPr>
          <w:rFonts w:ascii="Rockwell" w:eastAsia="Times New Roman" w:hAnsi="Rockwell" w:cs="Times New Roman"/>
          <w:sz w:val="30"/>
          <w:szCs w:val="30"/>
        </w:rPr>
        <w:t>“</w:t>
      </w:r>
      <w:r w:rsidRPr="00FB48DC">
        <w:rPr>
          <w:rFonts w:ascii="Rockwell" w:eastAsia="Times New Roman" w:hAnsi="Rockwell" w:cs="Times New Roman"/>
          <w:b/>
          <w:i/>
          <w:sz w:val="30"/>
          <w:szCs w:val="30"/>
        </w:rPr>
        <w:t>38.(1)A person aggrieved by the decision or an order of the Court may appeal against that decision or order to the High court on matters of law.(2)An appeal from any decision or order referred to in subsection (1) shall be final.”</w:t>
      </w:r>
    </w:p>
    <w:p w14:paraId="207BACEC" w14:textId="77777777" w:rsidR="00FB48DC" w:rsidRPr="00FB48DC" w:rsidRDefault="00FB48DC" w:rsidP="00FB48DC">
      <w:pPr>
        <w:pStyle w:val="ListParagraph"/>
        <w:spacing w:line="276" w:lineRule="auto"/>
        <w:ind w:left="567"/>
        <w:jc w:val="both"/>
        <w:rPr>
          <w:rFonts w:ascii="Rockwell" w:eastAsia="Times New Roman" w:hAnsi="Rockwell" w:cs="Times New Roman"/>
          <w:b/>
          <w:i/>
          <w:sz w:val="30"/>
          <w:szCs w:val="30"/>
        </w:rPr>
      </w:pPr>
    </w:p>
    <w:p w14:paraId="689E1921" w14:textId="401C6D85" w:rsidR="00C707CC" w:rsidRPr="00C707CC" w:rsidRDefault="00C707CC" w:rsidP="00FB48DC">
      <w:pPr>
        <w:pStyle w:val="ListParagraph"/>
        <w:numPr>
          <w:ilvl w:val="0"/>
          <w:numId w:val="1"/>
        </w:numPr>
        <w:spacing w:line="360" w:lineRule="auto"/>
        <w:ind w:left="-90" w:hanging="477"/>
        <w:jc w:val="both"/>
        <w:rPr>
          <w:rFonts w:ascii="Rockwell" w:eastAsia="Times New Roman" w:hAnsi="Rockwell" w:cs="Times New Roman"/>
          <w:sz w:val="30"/>
          <w:szCs w:val="30"/>
          <w:lang w:val="en-US"/>
        </w:rPr>
      </w:pPr>
      <w:r>
        <w:rPr>
          <w:rFonts w:ascii="Rockwell" w:eastAsia="Times New Roman" w:hAnsi="Rockwell" w:cs="Times New Roman"/>
          <w:sz w:val="30"/>
          <w:szCs w:val="30"/>
          <w:lang w:val="en-US"/>
        </w:rPr>
        <w:t xml:space="preserve"> </w:t>
      </w:r>
      <w:r w:rsidRPr="00C707CC">
        <w:rPr>
          <w:rFonts w:ascii="Rockwell" w:eastAsia="Times New Roman" w:hAnsi="Rockwell" w:cs="Times New Roman"/>
          <w:sz w:val="30"/>
          <w:szCs w:val="30"/>
        </w:rPr>
        <w:t xml:space="preserve">What constitutes points of law, </w:t>
      </w:r>
      <w:r w:rsidR="00FB48DC">
        <w:rPr>
          <w:rFonts w:ascii="Rockwell" w:eastAsia="Times New Roman" w:hAnsi="Rockwell" w:cs="Times New Roman"/>
          <w:sz w:val="30"/>
          <w:szCs w:val="30"/>
        </w:rPr>
        <w:t>was considered</w:t>
      </w:r>
      <w:r w:rsidRPr="00C707CC">
        <w:rPr>
          <w:rFonts w:ascii="Rockwell" w:eastAsia="Times New Roman" w:hAnsi="Rockwell" w:cs="Times New Roman"/>
          <w:sz w:val="30"/>
          <w:szCs w:val="30"/>
        </w:rPr>
        <w:t xml:space="preserve"> by the Court of Appeal in the case of </w:t>
      </w:r>
      <w:r w:rsidRPr="00FB48DC">
        <w:rPr>
          <w:rFonts w:ascii="Rockwell" w:eastAsia="Times New Roman" w:hAnsi="Rockwell" w:cs="Times New Roman"/>
          <w:b/>
          <w:sz w:val="30"/>
          <w:szCs w:val="30"/>
        </w:rPr>
        <w:t>Peter Gichuki King’ara v IEBC &amp; 2 Others, Nyeri Civil Appeal No. 31 of 2013</w:t>
      </w:r>
      <w:r w:rsidRPr="00C707CC">
        <w:rPr>
          <w:rFonts w:ascii="Rockwell" w:eastAsia="Times New Roman" w:hAnsi="Rockwell" w:cs="Times New Roman"/>
          <w:sz w:val="30"/>
          <w:szCs w:val="30"/>
        </w:rPr>
        <w:t xml:space="preserve"> where the Court stated as follows:</w:t>
      </w:r>
    </w:p>
    <w:p w14:paraId="1B94F193" w14:textId="4EF3FEF5" w:rsidR="00C707CC" w:rsidRPr="00FB48DC" w:rsidRDefault="00C707CC" w:rsidP="00FB48DC">
      <w:pPr>
        <w:pStyle w:val="ListParagraph"/>
        <w:spacing w:line="276" w:lineRule="auto"/>
        <w:ind w:left="709"/>
        <w:jc w:val="both"/>
        <w:rPr>
          <w:rFonts w:ascii="Rockwell" w:eastAsia="Times New Roman" w:hAnsi="Rockwell" w:cs="Times New Roman"/>
          <w:b/>
          <w:i/>
          <w:sz w:val="30"/>
          <w:szCs w:val="30"/>
          <w:lang w:val="en-US"/>
        </w:rPr>
      </w:pPr>
      <w:r w:rsidRPr="00FB48DC">
        <w:rPr>
          <w:rFonts w:ascii="Rockwell" w:eastAsia="Times New Roman" w:hAnsi="Rockwell" w:cs="Times New Roman"/>
          <w:b/>
          <w:i/>
          <w:sz w:val="30"/>
          <w:szCs w:val="30"/>
        </w:rPr>
        <w:t xml:space="preserve">“It was held that it is trite law that the exercise of judicial discretion is a point of law and that the trial court in denying a prayer of scrutiny is exercising judicial discretion. The Court concluded that it would not be feasible for the Court of Appeal to order for a recount and scrutiny as this would involve matters of fact that were within the jurisdiction of the trial court. The court further held that the question of whether the trial judge properly considered and evaluated the </w:t>
      </w:r>
      <w:r w:rsidRPr="00FB48DC">
        <w:rPr>
          <w:rFonts w:ascii="Rockwell" w:eastAsia="Times New Roman" w:hAnsi="Rockwell" w:cs="Times New Roman"/>
          <w:b/>
          <w:i/>
          <w:sz w:val="30"/>
          <w:szCs w:val="30"/>
        </w:rPr>
        <w:lastRenderedPageBreak/>
        <w:t>evidence and arrived at a correct determination that is supported by law of evidence with the caveat that the appeal court did not see the witness demeanor- is an issue of law”</w:t>
      </w:r>
    </w:p>
    <w:p w14:paraId="487F362F" w14:textId="77777777" w:rsidR="005E12C8" w:rsidRPr="00FB48DC" w:rsidRDefault="005E12C8" w:rsidP="00FB48DC">
      <w:pPr>
        <w:pStyle w:val="ListParagraph"/>
        <w:spacing w:line="276" w:lineRule="auto"/>
        <w:ind w:left="709"/>
        <w:rPr>
          <w:rFonts w:ascii="Rockwell" w:eastAsia="Times New Roman" w:hAnsi="Rockwell" w:cs="Times New Roman"/>
          <w:b/>
          <w:i/>
          <w:sz w:val="30"/>
          <w:szCs w:val="30"/>
        </w:rPr>
      </w:pPr>
    </w:p>
    <w:p w14:paraId="32EE9E40" w14:textId="72A34EF0" w:rsidR="00954677" w:rsidRDefault="00294624" w:rsidP="00DA649D">
      <w:pPr>
        <w:pStyle w:val="ListParagraph"/>
        <w:numPr>
          <w:ilvl w:val="0"/>
          <w:numId w:val="1"/>
        </w:numPr>
        <w:spacing w:line="360" w:lineRule="auto"/>
        <w:ind w:left="-90"/>
        <w:jc w:val="both"/>
        <w:rPr>
          <w:rFonts w:ascii="Rockwell" w:hAnsi="Rockwell" w:cs="Times New Roman"/>
          <w:bCs/>
          <w:sz w:val="30"/>
          <w:szCs w:val="30"/>
          <w:lang w:val="en-US"/>
        </w:rPr>
      </w:pPr>
      <w:r>
        <w:rPr>
          <w:rFonts w:ascii="Rockwell" w:hAnsi="Rockwell" w:cs="Times New Roman"/>
          <w:b/>
          <w:bCs/>
          <w:sz w:val="30"/>
          <w:szCs w:val="30"/>
          <w:lang w:val="en-US"/>
        </w:rPr>
        <w:t xml:space="preserve"> </w:t>
      </w:r>
      <w:r w:rsidRPr="00294624">
        <w:rPr>
          <w:rFonts w:ascii="Rockwell" w:hAnsi="Rockwell" w:cs="Times New Roman"/>
          <w:bCs/>
          <w:sz w:val="30"/>
          <w:szCs w:val="30"/>
          <w:lang w:val="en-US"/>
        </w:rPr>
        <w:t xml:space="preserve">The </w:t>
      </w:r>
      <w:r>
        <w:rPr>
          <w:rFonts w:ascii="Rockwell" w:hAnsi="Rockwell" w:cs="Times New Roman"/>
          <w:bCs/>
          <w:sz w:val="30"/>
          <w:szCs w:val="30"/>
          <w:lang w:val="en-US"/>
        </w:rPr>
        <w:t xml:space="preserve">issue for determination herein is whether </w:t>
      </w:r>
      <w:r w:rsidR="00FB48DC">
        <w:rPr>
          <w:rFonts w:ascii="Rockwell" w:hAnsi="Rockwell" w:cs="Times New Roman"/>
          <w:bCs/>
          <w:sz w:val="30"/>
          <w:szCs w:val="30"/>
          <w:lang w:val="en-US"/>
        </w:rPr>
        <w:t xml:space="preserve">the Adjudicator called for a higher standard of proof than is expected in claims before the Small Claims Court.  Whether a claimant in the Small Claims Court is required to plead the particulars of negligence as in other civil cases and whether the claim herein was sufficiently as pleaded. </w:t>
      </w:r>
    </w:p>
    <w:p w14:paraId="0210AD1A" w14:textId="77777777" w:rsidR="00DA649D" w:rsidRDefault="00DA649D" w:rsidP="00DA649D">
      <w:pPr>
        <w:pStyle w:val="ListParagraph"/>
        <w:spacing w:line="360" w:lineRule="auto"/>
        <w:ind w:left="-90"/>
        <w:jc w:val="both"/>
        <w:rPr>
          <w:rFonts w:ascii="Rockwell" w:hAnsi="Rockwell" w:cs="Times New Roman"/>
          <w:bCs/>
          <w:sz w:val="30"/>
          <w:szCs w:val="30"/>
          <w:lang w:val="en-US"/>
        </w:rPr>
      </w:pPr>
    </w:p>
    <w:p w14:paraId="6FF3649F" w14:textId="27CD0729" w:rsidR="00763709" w:rsidRDefault="00DA649D" w:rsidP="00DA649D">
      <w:pPr>
        <w:pStyle w:val="ListParagraph"/>
        <w:numPr>
          <w:ilvl w:val="0"/>
          <w:numId w:val="1"/>
        </w:numPr>
        <w:spacing w:line="360" w:lineRule="auto"/>
        <w:ind w:left="-90"/>
        <w:jc w:val="both"/>
        <w:rPr>
          <w:rFonts w:ascii="Rockwell" w:hAnsi="Rockwell" w:cs="Times New Roman"/>
          <w:bCs/>
          <w:sz w:val="30"/>
          <w:szCs w:val="30"/>
          <w:lang w:val="en-US"/>
        </w:rPr>
      </w:pPr>
      <w:r>
        <w:rPr>
          <w:rFonts w:ascii="Rockwell" w:hAnsi="Rockwell" w:cs="Times New Roman"/>
          <w:bCs/>
          <w:sz w:val="30"/>
          <w:szCs w:val="30"/>
          <w:lang w:val="en-US"/>
        </w:rPr>
        <w:t xml:space="preserve"> I have carefully considered the issues raised in this appeal.  As correctly submitted by Counsel for the Appellant, the Small Claims Court is not an ordinary civil court</w:t>
      </w:r>
      <w:r w:rsidR="00763709">
        <w:rPr>
          <w:rFonts w:ascii="Rockwell" w:hAnsi="Rockwell" w:cs="Times New Roman"/>
          <w:bCs/>
          <w:sz w:val="30"/>
          <w:szCs w:val="30"/>
          <w:lang w:val="en-US"/>
        </w:rPr>
        <w:t xml:space="preserve">.  From the Small Claims Court Act one can discern that it was designed to have less restrictive procedures aimed at the expeditious disposal </w:t>
      </w:r>
      <w:r w:rsidR="00234903">
        <w:rPr>
          <w:rFonts w:ascii="Rockwell" w:hAnsi="Rockwell" w:cs="Times New Roman"/>
          <w:bCs/>
          <w:sz w:val="30"/>
          <w:szCs w:val="30"/>
          <w:lang w:val="en-US"/>
        </w:rPr>
        <w:t>of small claims whose value does</w:t>
      </w:r>
      <w:r w:rsidR="00763709">
        <w:rPr>
          <w:rFonts w:ascii="Rockwell" w:hAnsi="Rockwell" w:cs="Times New Roman"/>
          <w:bCs/>
          <w:sz w:val="30"/>
          <w:szCs w:val="30"/>
          <w:lang w:val="en-US"/>
        </w:rPr>
        <w:t xml:space="preserve"> not exceed Kshs.1,000,000/-.  Its rules of procedure were simplified and the Adjudicators given discretion on the procedure to be adopted.</w:t>
      </w:r>
    </w:p>
    <w:p w14:paraId="1F81DB1F" w14:textId="77777777" w:rsidR="00763709" w:rsidRPr="00763709" w:rsidRDefault="00763709" w:rsidP="00763709">
      <w:pPr>
        <w:pStyle w:val="ListParagraph"/>
        <w:rPr>
          <w:rFonts w:ascii="Rockwell" w:hAnsi="Rockwell" w:cs="Times New Roman"/>
          <w:bCs/>
          <w:sz w:val="30"/>
          <w:szCs w:val="30"/>
          <w:lang w:val="en-US"/>
        </w:rPr>
      </w:pPr>
    </w:p>
    <w:p w14:paraId="36831475" w14:textId="77777777" w:rsidR="00394A93" w:rsidRPr="00234903" w:rsidRDefault="00763709" w:rsidP="00DA649D">
      <w:pPr>
        <w:pStyle w:val="ListParagraph"/>
        <w:numPr>
          <w:ilvl w:val="0"/>
          <w:numId w:val="1"/>
        </w:numPr>
        <w:spacing w:line="360" w:lineRule="auto"/>
        <w:ind w:left="-90"/>
        <w:jc w:val="both"/>
        <w:rPr>
          <w:rFonts w:ascii="Rockwell" w:hAnsi="Rockwell" w:cs="Times New Roman"/>
          <w:b/>
          <w:bCs/>
          <w:i/>
          <w:sz w:val="30"/>
          <w:szCs w:val="30"/>
          <w:lang w:val="en-US"/>
        </w:rPr>
      </w:pPr>
      <w:r>
        <w:rPr>
          <w:rFonts w:ascii="Rockwell" w:hAnsi="Rockwell" w:cs="Times New Roman"/>
          <w:bCs/>
          <w:sz w:val="30"/>
          <w:szCs w:val="30"/>
          <w:lang w:val="en-US"/>
        </w:rPr>
        <w:t xml:space="preserve">The nature of the claims that are heard in the small claims court are set out in </w:t>
      </w:r>
      <w:r w:rsidRPr="00763709">
        <w:rPr>
          <w:rFonts w:ascii="Rockwell" w:hAnsi="Rockwell" w:cs="Times New Roman"/>
          <w:b/>
          <w:bCs/>
          <w:sz w:val="30"/>
          <w:szCs w:val="30"/>
          <w:lang w:val="en-US"/>
        </w:rPr>
        <w:t>Section 11(1) of the Act</w:t>
      </w:r>
      <w:r>
        <w:rPr>
          <w:rFonts w:ascii="Rockwell" w:hAnsi="Rockwell" w:cs="Times New Roman"/>
          <w:bCs/>
          <w:sz w:val="30"/>
          <w:szCs w:val="30"/>
          <w:lang w:val="en-US"/>
        </w:rPr>
        <w:t>.  Among them is – “</w:t>
      </w:r>
      <w:r w:rsidRPr="00234903">
        <w:rPr>
          <w:rFonts w:ascii="Rockwell" w:hAnsi="Rockwell" w:cs="Times New Roman"/>
          <w:b/>
          <w:bCs/>
          <w:i/>
          <w:sz w:val="30"/>
          <w:szCs w:val="30"/>
          <w:lang w:val="en-US"/>
        </w:rPr>
        <w:t>liability in tort in respect of loss or damage caused</w:t>
      </w:r>
      <w:r w:rsidR="00394A93" w:rsidRPr="00234903">
        <w:rPr>
          <w:rFonts w:ascii="Rockwell" w:hAnsi="Rockwell" w:cs="Times New Roman"/>
          <w:b/>
          <w:bCs/>
          <w:i/>
          <w:sz w:val="30"/>
          <w:szCs w:val="30"/>
          <w:lang w:val="en-US"/>
        </w:rPr>
        <w:t xml:space="preserve"> to any property or for the delivery or recovery of movable property…”</w:t>
      </w:r>
    </w:p>
    <w:p w14:paraId="7710879F" w14:textId="77777777" w:rsidR="00394A93" w:rsidRPr="00394A93" w:rsidRDefault="00394A93" w:rsidP="00394A93">
      <w:pPr>
        <w:pStyle w:val="ListParagraph"/>
        <w:rPr>
          <w:rFonts w:ascii="Rockwell" w:hAnsi="Rockwell" w:cs="Times New Roman"/>
          <w:bCs/>
          <w:sz w:val="30"/>
          <w:szCs w:val="30"/>
          <w:lang w:val="en-US"/>
        </w:rPr>
      </w:pPr>
    </w:p>
    <w:p w14:paraId="5F942254" w14:textId="75BABA9C" w:rsidR="00234903" w:rsidRDefault="00394A93" w:rsidP="00234903">
      <w:pPr>
        <w:pStyle w:val="ListParagraph"/>
        <w:numPr>
          <w:ilvl w:val="0"/>
          <w:numId w:val="1"/>
        </w:numPr>
        <w:spacing w:line="360" w:lineRule="auto"/>
        <w:ind w:left="-90"/>
        <w:jc w:val="both"/>
        <w:rPr>
          <w:rFonts w:ascii="Rockwell" w:hAnsi="Rockwell" w:cs="Times New Roman"/>
          <w:bCs/>
          <w:sz w:val="30"/>
          <w:szCs w:val="30"/>
          <w:lang w:val="en-US"/>
        </w:rPr>
      </w:pPr>
      <w:r>
        <w:rPr>
          <w:rFonts w:ascii="Rockwell" w:hAnsi="Rockwell" w:cs="Times New Roman"/>
          <w:bCs/>
          <w:sz w:val="30"/>
          <w:szCs w:val="30"/>
          <w:lang w:val="en-US"/>
        </w:rPr>
        <w:t xml:space="preserve">The </w:t>
      </w:r>
      <w:r w:rsidR="00234903">
        <w:rPr>
          <w:rFonts w:ascii="Rockwell" w:hAnsi="Rockwell" w:cs="Times New Roman"/>
          <w:bCs/>
          <w:sz w:val="30"/>
          <w:szCs w:val="30"/>
          <w:lang w:val="en-US"/>
        </w:rPr>
        <w:t>A</w:t>
      </w:r>
      <w:r w:rsidR="00B130D3">
        <w:rPr>
          <w:rFonts w:ascii="Rockwell" w:hAnsi="Rockwell" w:cs="Times New Roman"/>
          <w:bCs/>
          <w:sz w:val="30"/>
          <w:szCs w:val="30"/>
          <w:lang w:val="en-US"/>
        </w:rPr>
        <w:t>ppellant’s</w:t>
      </w:r>
      <w:r>
        <w:rPr>
          <w:rFonts w:ascii="Rockwell" w:hAnsi="Rockwell" w:cs="Times New Roman"/>
          <w:bCs/>
          <w:sz w:val="30"/>
          <w:szCs w:val="30"/>
          <w:lang w:val="en-US"/>
        </w:rPr>
        <w:t xml:space="preserve"> claim arose from damage to his </w:t>
      </w:r>
      <w:r w:rsidR="00B130D3">
        <w:rPr>
          <w:rFonts w:ascii="Rockwell" w:hAnsi="Rockwell" w:cs="Times New Roman"/>
          <w:bCs/>
          <w:sz w:val="30"/>
          <w:szCs w:val="30"/>
          <w:lang w:val="en-US"/>
        </w:rPr>
        <w:t>vehicle and</w:t>
      </w:r>
      <w:r>
        <w:rPr>
          <w:rFonts w:ascii="Rockwell" w:hAnsi="Rockwell" w:cs="Times New Roman"/>
          <w:bCs/>
          <w:sz w:val="30"/>
          <w:szCs w:val="30"/>
          <w:lang w:val="en-US"/>
        </w:rPr>
        <w:t xml:space="preserve"> is hence covered under </w:t>
      </w:r>
      <w:r w:rsidRPr="00234903">
        <w:rPr>
          <w:rFonts w:ascii="Rockwell" w:hAnsi="Rockwell" w:cs="Times New Roman"/>
          <w:b/>
          <w:bCs/>
          <w:sz w:val="30"/>
          <w:szCs w:val="30"/>
          <w:lang w:val="en-US"/>
        </w:rPr>
        <w:t xml:space="preserve">Section 11(1) </w:t>
      </w:r>
      <w:r w:rsidR="00B130D3" w:rsidRPr="00234903">
        <w:rPr>
          <w:rFonts w:ascii="Rockwell" w:hAnsi="Rockwell" w:cs="Times New Roman"/>
          <w:b/>
          <w:bCs/>
          <w:sz w:val="30"/>
          <w:szCs w:val="30"/>
          <w:lang w:val="en-US"/>
        </w:rPr>
        <w:t>(c)</w:t>
      </w:r>
      <w:r w:rsidRPr="00234903">
        <w:rPr>
          <w:rFonts w:ascii="Rockwell" w:hAnsi="Rockwell" w:cs="Times New Roman"/>
          <w:b/>
          <w:bCs/>
          <w:sz w:val="30"/>
          <w:szCs w:val="30"/>
          <w:lang w:val="en-US"/>
        </w:rPr>
        <w:t xml:space="preserve"> of the Small </w:t>
      </w:r>
      <w:r w:rsidR="00B130D3" w:rsidRPr="00234903">
        <w:rPr>
          <w:rFonts w:ascii="Rockwell" w:hAnsi="Rockwell" w:cs="Times New Roman"/>
          <w:b/>
          <w:bCs/>
          <w:sz w:val="30"/>
          <w:szCs w:val="30"/>
          <w:lang w:val="en-US"/>
        </w:rPr>
        <w:t>Claims</w:t>
      </w:r>
      <w:r w:rsidRPr="00234903">
        <w:rPr>
          <w:rFonts w:ascii="Rockwell" w:hAnsi="Rockwell" w:cs="Times New Roman"/>
          <w:b/>
          <w:bCs/>
          <w:sz w:val="30"/>
          <w:szCs w:val="30"/>
          <w:lang w:val="en-US"/>
        </w:rPr>
        <w:t xml:space="preserve"> </w:t>
      </w:r>
      <w:r w:rsidR="00D76783">
        <w:rPr>
          <w:rFonts w:ascii="Rockwell" w:hAnsi="Rockwell" w:cs="Times New Roman"/>
          <w:b/>
          <w:bCs/>
          <w:sz w:val="30"/>
          <w:szCs w:val="30"/>
          <w:lang w:val="en-US"/>
        </w:rPr>
        <w:t xml:space="preserve">Court </w:t>
      </w:r>
      <w:r w:rsidRPr="00234903">
        <w:rPr>
          <w:rFonts w:ascii="Rockwell" w:hAnsi="Rockwell" w:cs="Times New Roman"/>
          <w:b/>
          <w:bCs/>
          <w:sz w:val="30"/>
          <w:szCs w:val="30"/>
          <w:lang w:val="en-US"/>
        </w:rPr>
        <w:t>Act</w:t>
      </w:r>
      <w:r>
        <w:rPr>
          <w:rFonts w:ascii="Rockwell" w:hAnsi="Rockwell" w:cs="Times New Roman"/>
          <w:bCs/>
          <w:sz w:val="30"/>
          <w:szCs w:val="30"/>
          <w:lang w:val="en-US"/>
        </w:rPr>
        <w:t xml:space="preserve">.  It is trite that in material damage claims there can be no liability without fault.  The </w:t>
      </w:r>
      <w:r w:rsidR="00D76783">
        <w:rPr>
          <w:rFonts w:ascii="Rockwell" w:hAnsi="Rockwell" w:cs="Times New Roman"/>
          <w:bCs/>
          <w:sz w:val="30"/>
          <w:szCs w:val="30"/>
          <w:lang w:val="en-US"/>
        </w:rPr>
        <w:t>claimant</w:t>
      </w:r>
      <w:r>
        <w:rPr>
          <w:rFonts w:ascii="Rockwell" w:hAnsi="Rockwell" w:cs="Times New Roman"/>
          <w:bCs/>
          <w:sz w:val="30"/>
          <w:szCs w:val="30"/>
          <w:lang w:val="en-US"/>
        </w:rPr>
        <w:t xml:space="preserve"> must first prove liability before they can be awarded the damages sought.  It is also trite </w:t>
      </w:r>
      <w:r w:rsidR="00234903">
        <w:rPr>
          <w:rFonts w:ascii="Rockwell" w:hAnsi="Rockwell" w:cs="Times New Roman"/>
          <w:bCs/>
          <w:sz w:val="30"/>
          <w:szCs w:val="30"/>
          <w:lang w:val="en-US"/>
        </w:rPr>
        <w:t>that</w:t>
      </w:r>
      <w:r>
        <w:rPr>
          <w:rFonts w:ascii="Rockwell" w:hAnsi="Rockwell" w:cs="Times New Roman"/>
          <w:bCs/>
          <w:sz w:val="30"/>
          <w:szCs w:val="30"/>
          <w:lang w:val="en-US"/>
        </w:rPr>
        <w:t xml:space="preserve"> the party alleging </w:t>
      </w:r>
      <w:r w:rsidR="00D76783">
        <w:rPr>
          <w:rFonts w:ascii="Rockwell" w:hAnsi="Rockwell" w:cs="Times New Roman"/>
          <w:bCs/>
          <w:sz w:val="30"/>
          <w:szCs w:val="30"/>
          <w:lang w:val="en-US"/>
        </w:rPr>
        <w:lastRenderedPageBreak/>
        <w:t xml:space="preserve">the </w:t>
      </w:r>
      <w:r w:rsidR="00234903">
        <w:rPr>
          <w:rFonts w:ascii="Rockwell" w:hAnsi="Rockwell" w:cs="Times New Roman"/>
          <w:bCs/>
          <w:sz w:val="30"/>
          <w:szCs w:val="30"/>
          <w:lang w:val="en-US"/>
        </w:rPr>
        <w:t>liability</w:t>
      </w:r>
      <w:r>
        <w:rPr>
          <w:rFonts w:ascii="Rockwell" w:hAnsi="Rockwell" w:cs="Times New Roman"/>
          <w:bCs/>
          <w:sz w:val="30"/>
          <w:szCs w:val="30"/>
          <w:lang w:val="en-US"/>
        </w:rPr>
        <w:t xml:space="preserve"> of the other must first plead the </w:t>
      </w:r>
      <w:r w:rsidR="00234903">
        <w:rPr>
          <w:rFonts w:ascii="Rockwell" w:hAnsi="Rockwell" w:cs="Times New Roman"/>
          <w:bCs/>
          <w:sz w:val="30"/>
          <w:szCs w:val="30"/>
          <w:lang w:val="en-US"/>
        </w:rPr>
        <w:t>particulars</w:t>
      </w:r>
      <w:r>
        <w:rPr>
          <w:rFonts w:ascii="Rockwell" w:hAnsi="Rockwell" w:cs="Times New Roman"/>
          <w:bCs/>
          <w:sz w:val="30"/>
          <w:szCs w:val="30"/>
          <w:lang w:val="en-US"/>
        </w:rPr>
        <w:t xml:space="preserve"> </w:t>
      </w:r>
      <w:r w:rsidR="00234903">
        <w:rPr>
          <w:rFonts w:ascii="Rockwell" w:hAnsi="Rockwell" w:cs="Times New Roman"/>
          <w:bCs/>
          <w:sz w:val="30"/>
          <w:szCs w:val="30"/>
          <w:lang w:val="en-US"/>
        </w:rPr>
        <w:t>of</w:t>
      </w:r>
      <w:r>
        <w:rPr>
          <w:rFonts w:ascii="Rockwell" w:hAnsi="Rockwell" w:cs="Times New Roman"/>
          <w:bCs/>
          <w:sz w:val="30"/>
          <w:szCs w:val="30"/>
          <w:lang w:val="en-US"/>
        </w:rPr>
        <w:t xml:space="preserve"> </w:t>
      </w:r>
      <w:r w:rsidR="00234903">
        <w:rPr>
          <w:rFonts w:ascii="Rockwell" w:hAnsi="Rockwell" w:cs="Times New Roman"/>
          <w:bCs/>
          <w:sz w:val="30"/>
          <w:szCs w:val="30"/>
          <w:lang w:val="en-US"/>
        </w:rPr>
        <w:t>negligence so</w:t>
      </w:r>
      <w:r>
        <w:rPr>
          <w:rFonts w:ascii="Rockwell" w:hAnsi="Rockwell" w:cs="Times New Roman"/>
          <w:bCs/>
          <w:sz w:val="30"/>
          <w:szCs w:val="30"/>
          <w:lang w:val="en-US"/>
        </w:rPr>
        <w:t xml:space="preserve"> as not to take the other party by surprise.  The </w:t>
      </w:r>
      <w:r w:rsidR="00234903">
        <w:rPr>
          <w:rFonts w:ascii="Rockwell" w:hAnsi="Rockwell" w:cs="Times New Roman"/>
          <w:bCs/>
          <w:sz w:val="30"/>
          <w:szCs w:val="30"/>
          <w:lang w:val="en-US"/>
        </w:rPr>
        <w:t>claimant</w:t>
      </w:r>
      <w:r>
        <w:rPr>
          <w:rFonts w:ascii="Rockwell" w:hAnsi="Rockwell" w:cs="Times New Roman"/>
          <w:bCs/>
          <w:sz w:val="30"/>
          <w:szCs w:val="30"/>
          <w:lang w:val="en-US"/>
        </w:rPr>
        <w:t xml:space="preserve"> in the small claims court is also bound by the law and accordingly the omission to plead the </w:t>
      </w:r>
      <w:r w:rsidR="00234903">
        <w:rPr>
          <w:rFonts w:ascii="Rockwell" w:hAnsi="Rockwell" w:cs="Times New Roman"/>
          <w:bCs/>
          <w:sz w:val="30"/>
          <w:szCs w:val="30"/>
          <w:lang w:val="en-US"/>
        </w:rPr>
        <w:t>particulars</w:t>
      </w:r>
      <w:r>
        <w:rPr>
          <w:rFonts w:ascii="Rockwell" w:hAnsi="Rockwell" w:cs="Times New Roman"/>
          <w:bCs/>
          <w:sz w:val="30"/>
          <w:szCs w:val="30"/>
          <w:lang w:val="en-US"/>
        </w:rPr>
        <w:t xml:space="preserve"> </w:t>
      </w:r>
      <w:r w:rsidR="00234903">
        <w:rPr>
          <w:rFonts w:ascii="Rockwell" w:hAnsi="Rockwell" w:cs="Times New Roman"/>
          <w:bCs/>
          <w:sz w:val="30"/>
          <w:szCs w:val="30"/>
          <w:lang w:val="en-US"/>
        </w:rPr>
        <w:t>of</w:t>
      </w:r>
      <w:r>
        <w:rPr>
          <w:rFonts w:ascii="Rockwell" w:hAnsi="Rockwell" w:cs="Times New Roman"/>
          <w:bCs/>
          <w:sz w:val="30"/>
          <w:szCs w:val="30"/>
          <w:lang w:val="en-US"/>
        </w:rPr>
        <w:t xml:space="preserve"> negligence was fatal to the claim.</w:t>
      </w:r>
    </w:p>
    <w:p w14:paraId="017A8A10" w14:textId="77777777" w:rsidR="00234903" w:rsidRPr="00234903" w:rsidRDefault="00234903" w:rsidP="00234903">
      <w:pPr>
        <w:pStyle w:val="ListParagraph"/>
        <w:rPr>
          <w:rFonts w:ascii="Rockwell" w:hAnsi="Rockwell" w:cs="Times New Roman"/>
          <w:bCs/>
          <w:sz w:val="30"/>
          <w:szCs w:val="30"/>
          <w:lang w:val="en-US"/>
        </w:rPr>
      </w:pPr>
    </w:p>
    <w:p w14:paraId="34AD1914" w14:textId="50F5D1B2" w:rsidR="00394A93" w:rsidRPr="00234903" w:rsidRDefault="00394A93" w:rsidP="00234903">
      <w:pPr>
        <w:pStyle w:val="ListParagraph"/>
        <w:numPr>
          <w:ilvl w:val="0"/>
          <w:numId w:val="1"/>
        </w:numPr>
        <w:spacing w:line="360" w:lineRule="auto"/>
        <w:ind w:left="-90"/>
        <w:jc w:val="both"/>
        <w:rPr>
          <w:rFonts w:ascii="Rockwell" w:hAnsi="Rockwell" w:cs="Times New Roman"/>
          <w:bCs/>
          <w:sz w:val="30"/>
          <w:szCs w:val="30"/>
          <w:lang w:val="en-US"/>
        </w:rPr>
      </w:pPr>
      <w:r w:rsidRPr="00234903">
        <w:rPr>
          <w:rFonts w:ascii="Rockwell" w:hAnsi="Rockwell" w:cs="Times New Roman"/>
          <w:bCs/>
          <w:sz w:val="30"/>
          <w:szCs w:val="30"/>
          <w:lang w:val="en-US"/>
        </w:rPr>
        <w:t xml:space="preserve">I am not persuaded that this appeal has merit and the </w:t>
      </w:r>
      <w:r w:rsidR="00234903" w:rsidRPr="00234903">
        <w:rPr>
          <w:rFonts w:ascii="Rockwell" w:hAnsi="Rockwell" w:cs="Times New Roman"/>
          <w:bCs/>
          <w:sz w:val="30"/>
          <w:szCs w:val="30"/>
          <w:lang w:val="en-US"/>
        </w:rPr>
        <w:t>same</w:t>
      </w:r>
      <w:r w:rsidRPr="00234903">
        <w:rPr>
          <w:rFonts w:ascii="Rockwell" w:hAnsi="Rockwell" w:cs="Times New Roman"/>
          <w:bCs/>
          <w:sz w:val="30"/>
          <w:szCs w:val="30"/>
          <w:lang w:val="en-US"/>
        </w:rPr>
        <w:t xml:space="preserve"> is dismissed with costs to the </w:t>
      </w:r>
      <w:r w:rsidR="00234903" w:rsidRPr="00234903">
        <w:rPr>
          <w:rFonts w:ascii="Rockwell" w:hAnsi="Rockwell" w:cs="Times New Roman"/>
          <w:bCs/>
          <w:sz w:val="30"/>
          <w:szCs w:val="30"/>
          <w:lang w:val="en-US"/>
        </w:rPr>
        <w:t>Respondent</w:t>
      </w:r>
      <w:r w:rsidRPr="00234903">
        <w:rPr>
          <w:rFonts w:ascii="Rockwell" w:hAnsi="Rockwell" w:cs="Times New Roman"/>
          <w:bCs/>
          <w:sz w:val="30"/>
          <w:szCs w:val="30"/>
          <w:lang w:val="en-US"/>
        </w:rPr>
        <w:t xml:space="preserve">.  </w:t>
      </w:r>
    </w:p>
    <w:p w14:paraId="55F86DC6" w14:textId="77777777" w:rsidR="00234903" w:rsidRPr="00234903" w:rsidRDefault="00234903" w:rsidP="00234903">
      <w:pPr>
        <w:pStyle w:val="ListParagraph"/>
        <w:rPr>
          <w:rFonts w:ascii="Rockwell" w:hAnsi="Rockwell" w:cs="Times New Roman"/>
          <w:bCs/>
          <w:sz w:val="30"/>
          <w:szCs w:val="30"/>
          <w:lang w:val="en-US"/>
        </w:rPr>
      </w:pPr>
    </w:p>
    <w:p w14:paraId="4A583EAC" w14:textId="471FA471" w:rsidR="0099273A" w:rsidRDefault="00234903" w:rsidP="00635052">
      <w:pPr>
        <w:pStyle w:val="ListParagraph"/>
        <w:spacing w:line="360" w:lineRule="auto"/>
        <w:ind w:left="-90"/>
        <w:jc w:val="both"/>
        <w:rPr>
          <w:rFonts w:ascii="Rockwell" w:hAnsi="Rockwell" w:cs="Times New Roman"/>
          <w:bCs/>
          <w:sz w:val="30"/>
          <w:szCs w:val="30"/>
          <w:lang w:val="en-US"/>
        </w:rPr>
      </w:pPr>
      <w:r>
        <w:rPr>
          <w:rFonts w:ascii="Rockwell" w:hAnsi="Rockwell" w:cs="Times New Roman"/>
          <w:bCs/>
          <w:sz w:val="30"/>
          <w:szCs w:val="30"/>
          <w:lang w:val="en-US"/>
        </w:rPr>
        <w:t xml:space="preserve">Orders accordingly.  </w:t>
      </w:r>
    </w:p>
    <w:p w14:paraId="786C27F0" w14:textId="77777777" w:rsidR="00635052" w:rsidRDefault="00635052" w:rsidP="00635052">
      <w:pPr>
        <w:tabs>
          <w:tab w:val="left" w:pos="142"/>
        </w:tabs>
        <w:spacing w:line="360" w:lineRule="auto"/>
        <w:jc w:val="both"/>
        <w:rPr>
          <w:rFonts w:ascii="Rockwell" w:hAnsi="Rockwell" w:cs="Times New Roman"/>
          <w:bCs/>
          <w:iCs/>
          <w:sz w:val="28"/>
          <w:szCs w:val="28"/>
          <w:lang w:val="en-US"/>
        </w:rPr>
      </w:pPr>
      <w:r w:rsidRPr="007E0435">
        <w:rPr>
          <w:rFonts w:ascii="Rockwell" w:hAnsi="Rockwell" w:cs="Times New Roman"/>
          <w:b/>
          <w:bCs/>
          <w:iCs/>
          <w:sz w:val="28"/>
          <w:szCs w:val="28"/>
          <w:lang w:val="en-US"/>
        </w:rPr>
        <w:t>Judgment signed, dated and delivered virtually on this 27</w:t>
      </w:r>
      <w:r w:rsidRPr="007E0435">
        <w:rPr>
          <w:rFonts w:ascii="Rockwell" w:hAnsi="Rockwell" w:cs="Times New Roman"/>
          <w:b/>
          <w:bCs/>
          <w:iCs/>
          <w:sz w:val="28"/>
          <w:szCs w:val="28"/>
          <w:vertAlign w:val="superscript"/>
          <w:lang w:val="en-US"/>
        </w:rPr>
        <w:t>th</w:t>
      </w:r>
      <w:r w:rsidRPr="007E0435">
        <w:rPr>
          <w:rFonts w:ascii="Rockwell" w:hAnsi="Rockwell" w:cs="Times New Roman"/>
          <w:b/>
          <w:bCs/>
          <w:iCs/>
          <w:sz w:val="28"/>
          <w:szCs w:val="28"/>
          <w:lang w:val="en-US"/>
        </w:rPr>
        <w:t xml:space="preserve"> day of November, 2025</w:t>
      </w:r>
      <w:r>
        <w:rPr>
          <w:rFonts w:ascii="Rockwell" w:hAnsi="Rockwell" w:cs="Times New Roman"/>
          <w:bCs/>
          <w:iCs/>
          <w:sz w:val="28"/>
          <w:szCs w:val="28"/>
          <w:lang w:val="en-US"/>
        </w:rPr>
        <w:t>.</w:t>
      </w:r>
    </w:p>
    <w:p w14:paraId="6845102E" w14:textId="77777777" w:rsidR="00635052" w:rsidRPr="007E0435" w:rsidRDefault="00635052" w:rsidP="00635052">
      <w:pPr>
        <w:tabs>
          <w:tab w:val="left" w:pos="142"/>
        </w:tabs>
        <w:spacing w:line="360" w:lineRule="auto"/>
        <w:ind w:left="687"/>
        <w:jc w:val="center"/>
        <w:rPr>
          <w:rFonts w:ascii="Rockwell" w:hAnsi="Rockwell" w:cs="Times New Roman"/>
          <w:b/>
          <w:bCs/>
          <w:iCs/>
          <w:sz w:val="28"/>
          <w:szCs w:val="28"/>
          <w:lang w:val="en-US"/>
        </w:rPr>
      </w:pPr>
      <w:r w:rsidRPr="007E0435">
        <w:rPr>
          <w:rFonts w:ascii="Rockwell" w:hAnsi="Rockwell" w:cs="Times New Roman"/>
          <w:b/>
          <w:bCs/>
          <w:iCs/>
          <w:sz w:val="28"/>
          <w:szCs w:val="28"/>
          <w:lang w:val="en-US"/>
        </w:rPr>
        <w:t>E. N. MAINA</w:t>
      </w:r>
    </w:p>
    <w:p w14:paraId="3C8AA76D" w14:textId="77777777" w:rsidR="00635052" w:rsidRPr="007E0435" w:rsidRDefault="00635052" w:rsidP="00635052">
      <w:pPr>
        <w:tabs>
          <w:tab w:val="left" w:pos="142"/>
        </w:tabs>
        <w:spacing w:line="360" w:lineRule="auto"/>
        <w:ind w:left="687"/>
        <w:jc w:val="center"/>
        <w:rPr>
          <w:rFonts w:ascii="Rockwell" w:hAnsi="Rockwell" w:cs="Times New Roman"/>
          <w:b/>
          <w:bCs/>
          <w:iCs/>
          <w:sz w:val="28"/>
          <w:szCs w:val="28"/>
          <w:lang w:val="en-US"/>
        </w:rPr>
      </w:pPr>
      <w:r w:rsidRPr="007E0435">
        <w:rPr>
          <w:rFonts w:ascii="Rockwell" w:hAnsi="Rockwell" w:cs="Times New Roman"/>
          <w:b/>
          <w:bCs/>
          <w:iCs/>
          <w:sz w:val="28"/>
          <w:szCs w:val="28"/>
          <w:lang w:val="en-US"/>
        </w:rPr>
        <w:t>JUDGE</w:t>
      </w:r>
    </w:p>
    <w:p w14:paraId="2E45DDF6" w14:textId="77777777" w:rsidR="00635052" w:rsidRDefault="00635052" w:rsidP="00635052">
      <w:pPr>
        <w:tabs>
          <w:tab w:val="left" w:pos="142"/>
        </w:tabs>
        <w:spacing w:line="360" w:lineRule="auto"/>
        <w:ind w:left="687"/>
        <w:jc w:val="both"/>
        <w:rPr>
          <w:rFonts w:ascii="Rockwell" w:hAnsi="Rockwell" w:cs="Times New Roman"/>
          <w:bCs/>
          <w:iCs/>
          <w:sz w:val="28"/>
          <w:szCs w:val="28"/>
          <w:lang w:val="en-US"/>
        </w:rPr>
      </w:pPr>
    </w:p>
    <w:p w14:paraId="4960E648" w14:textId="77777777" w:rsidR="00635052" w:rsidRDefault="00635052" w:rsidP="00635052">
      <w:pPr>
        <w:tabs>
          <w:tab w:val="left" w:pos="142"/>
        </w:tabs>
        <w:spacing w:line="360" w:lineRule="auto"/>
        <w:jc w:val="both"/>
        <w:rPr>
          <w:rFonts w:ascii="Rockwell" w:hAnsi="Rockwell" w:cs="Times New Roman"/>
          <w:b/>
          <w:bCs/>
          <w:iCs/>
          <w:sz w:val="28"/>
          <w:szCs w:val="28"/>
          <w:u w:val="single"/>
          <w:lang w:val="en-US"/>
        </w:rPr>
      </w:pPr>
      <w:r w:rsidRPr="007E0435">
        <w:rPr>
          <w:rFonts w:ascii="Rockwell" w:hAnsi="Rockwell" w:cs="Times New Roman"/>
          <w:b/>
          <w:bCs/>
          <w:iCs/>
          <w:sz w:val="28"/>
          <w:szCs w:val="28"/>
          <w:u w:val="single"/>
          <w:lang w:val="en-US"/>
        </w:rPr>
        <w:t xml:space="preserve">IN THE PRESENCE OF: </w:t>
      </w:r>
    </w:p>
    <w:p w14:paraId="3584B952" w14:textId="0090AD31" w:rsidR="00635052" w:rsidRDefault="00635052" w:rsidP="00635052">
      <w:pPr>
        <w:tabs>
          <w:tab w:val="left" w:pos="142"/>
        </w:tabs>
        <w:spacing w:line="360" w:lineRule="auto"/>
        <w:jc w:val="both"/>
        <w:rPr>
          <w:rFonts w:ascii="Rockwell" w:hAnsi="Rockwell" w:cs="Times New Roman"/>
          <w:bCs/>
          <w:iCs/>
          <w:sz w:val="28"/>
          <w:szCs w:val="28"/>
          <w:lang w:val="en-US"/>
        </w:rPr>
      </w:pPr>
      <w:r>
        <w:rPr>
          <w:rFonts w:ascii="Rockwell" w:hAnsi="Rockwell" w:cs="Times New Roman"/>
          <w:bCs/>
          <w:iCs/>
          <w:sz w:val="28"/>
          <w:szCs w:val="28"/>
          <w:lang w:val="en-US"/>
        </w:rPr>
        <w:t>Mr. Ngolya for Respondent</w:t>
      </w:r>
    </w:p>
    <w:p w14:paraId="44B81EF0" w14:textId="30C011EA" w:rsidR="00635052" w:rsidRDefault="00635052" w:rsidP="00635052">
      <w:pPr>
        <w:tabs>
          <w:tab w:val="left" w:pos="142"/>
        </w:tabs>
        <w:spacing w:line="360" w:lineRule="auto"/>
        <w:jc w:val="both"/>
        <w:rPr>
          <w:rFonts w:ascii="Rockwell" w:hAnsi="Rockwell" w:cs="Times New Roman"/>
          <w:bCs/>
          <w:iCs/>
          <w:sz w:val="28"/>
          <w:szCs w:val="28"/>
          <w:lang w:val="en-US"/>
        </w:rPr>
      </w:pPr>
      <w:r>
        <w:rPr>
          <w:rFonts w:ascii="Rockwell" w:hAnsi="Rockwell" w:cs="Times New Roman"/>
          <w:bCs/>
          <w:iCs/>
          <w:sz w:val="28"/>
          <w:szCs w:val="28"/>
          <w:lang w:val="en-US"/>
        </w:rPr>
        <w:t>Mr. Ajwang for Appellant</w:t>
      </w:r>
    </w:p>
    <w:p w14:paraId="537C0A0F" w14:textId="33A23105" w:rsidR="00635052" w:rsidRPr="007E0435" w:rsidRDefault="00CC6070" w:rsidP="00635052">
      <w:pPr>
        <w:tabs>
          <w:tab w:val="left" w:pos="142"/>
        </w:tabs>
        <w:spacing w:line="360" w:lineRule="auto"/>
        <w:jc w:val="both"/>
        <w:rPr>
          <w:rFonts w:ascii="Rockwell" w:hAnsi="Rockwell" w:cs="Times New Roman"/>
          <w:bCs/>
          <w:iCs/>
          <w:sz w:val="28"/>
          <w:szCs w:val="28"/>
          <w:lang w:val="en-US"/>
        </w:rPr>
      </w:pPr>
      <w:r>
        <w:rPr>
          <w:rFonts w:ascii="Rockwell" w:hAnsi="Rockwell" w:cs="Times New Roman"/>
          <w:bCs/>
          <w:iCs/>
          <w:sz w:val="28"/>
          <w:szCs w:val="28"/>
          <w:lang w:val="en-US"/>
        </w:rPr>
        <w:t>Court Assistant/Interpreter</w:t>
      </w:r>
      <w:r w:rsidR="00635052">
        <w:rPr>
          <w:rFonts w:ascii="Rockwell" w:hAnsi="Rockwell" w:cs="Times New Roman"/>
          <w:bCs/>
          <w:iCs/>
          <w:sz w:val="28"/>
          <w:szCs w:val="28"/>
          <w:lang w:val="en-US"/>
        </w:rPr>
        <w:t xml:space="preserve">: Geoffrey </w:t>
      </w:r>
    </w:p>
    <w:p w14:paraId="66698389" w14:textId="77777777" w:rsidR="00635052" w:rsidRPr="005D1D28" w:rsidRDefault="00635052" w:rsidP="005D1D28">
      <w:pPr>
        <w:spacing w:line="360" w:lineRule="auto"/>
        <w:jc w:val="both"/>
        <w:rPr>
          <w:rFonts w:ascii="Rockwell" w:eastAsia="Times New Roman" w:hAnsi="Rockwell" w:cs="Times New Roman"/>
          <w:sz w:val="30"/>
          <w:szCs w:val="30"/>
          <w:lang w:val="en-US"/>
        </w:rPr>
      </w:pPr>
    </w:p>
    <w:p w14:paraId="54689777" w14:textId="3E111733" w:rsidR="0005370D" w:rsidRPr="00714C5D" w:rsidRDefault="00334BD2" w:rsidP="00714C5D">
      <w:pPr>
        <w:pStyle w:val="ListParagraph"/>
        <w:spacing w:line="360" w:lineRule="auto"/>
        <w:ind w:left="-90"/>
        <w:jc w:val="both"/>
        <w:rPr>
          <w:rFonts w:ascii="Rockwell" w:eastAsia="Times New Roman" w:hAnsi="Rockwell" w:cs="Times New Roman"/>
          <w:sz w:val="30"/>
          <w:szCs w:val="30"/>
          <w:lang w:val="en-US"/>
        </w:rPr>
      </w:pPr>
      <w:r w:rsidRPr="004E4DB0">
        <w:rPr>
          <w:rFonts w:ascii="Rockwell" w:eastAsia="Times New Roman" w:hAnsi="Rockwell" w:cs="Times New Roman"/>
          <w:sz w:val="30"/>
          <w:szCs w:val="30"/>
          <w:lang w:val="en-US"/>
        </w:rPr>
        <w:t xml:space="preserve"> </w:t>
      </w:r>
    </w:p>
    <w:sectPr w:rsidR="0005370D" w:rsidRPr="00714C5D" w:rsidSect="00917A05">
      <w:headerReference w:type="even" r:id="rId7"/>
      <w:headerReference w:type="default" r:id="rId8"/>
      <w:footerReference w:type="even" r:id="rId9"/>
      <w:footerReference w:type="default" r:id="rId10"/>
      <w:headerReference w:type="first" r:id="rId11"/>
      <w:footerReference w:type="first" r:id="rId12"/>
      <w:pgSz w:w="11906" w:h="16838"/>
      <w:pgMar w:top="568" w:right="1106"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DBDDE" w14:textId="77777777" w:rsidR="00E55E44" w:rsidRDefault="00E55E44" w:rsidP="00E518EF">
      <w:pPr>
        <w:spacing w:after="0" w:line="240" w:lineRule="auto"/>
      </w:pPr>
      <w:r>
        <w:separator/>
      </w:r>
    </w:p>
  </w:endnote>
  <w:endnote w:type="continuationSeparator" w:id="0">
    <w:p w14:paraId="5E32AE95" w14:textId="77777777" w:rsidR="00E55E44" w:rsidRDefault="00E55E44" w:rsidP="00E5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ova">
    <w:altName w:val="Arial"/>
    <w:charset w:val="00"/>
    <w:family w:val="swiss"/>
    <w:pitch w:val="variable"/>
    <w:sig w:usb0="00000001"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D572D" w14:textId="77777777" w:rsidR="00635052" w:rsidRDefault="00635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B130D3" w14:paraId="1DC60287" w14:textId="77777777">
      <w:trPr>
        <w:jc w:val="right"/>
      </w:trPr>
      <w:tc>
        <w:tcPr>
          <w:tcW w:w="4795" w:type="dxa"/>
          <w:vAlign w:val="center"/>
        </w:tcPr>
        <w:sdt>
          <w:sdtPr>
            <w:rPr>
              <w:caps/>
              <w:color w:val="000000" w:themeColor="text1"/>
            </w:rPr>
            <w:alias w:val="Author"/>
            <w:tag w:val=""/>
            <w:id w:val="-1603805195"/>
            <w:placeholder>
              <w:docPart w:val="CA9CCDED089C437E833010D6EAF941D8"/>
            </w:placeholder>
            <w:dataBinding w:prefixMappings="xmlns:ns0='http://purl.org/dc/elements/1.1/' xmlns:ns1='http://schemas.openxmlformats.org/package/2006/metadata/core-properties' " w:xpath="/ns1:coreProperties[1]/ns0:creator[1]" w:storeItemID="{6C3C8BC8-F283-45AE-878A-BAB7291924A1}"/>
            <w:text/>
          </w:sdtPr>
          <w:sdtEndPr/>
          <w:sdtContent>
            <w:p w14:paraId="50329B66" w14:textId="551375DF" w:rsidR="00B130D3" w:rsidRDefault="00B130D3" w:rsidP="00917A05">
              <w:pPr>
                <w:pStyle w:val="Header"/>
                <w:jc w:val="right"/>
                <w:rPr>
                  <w:caps/>
                  <w:color w:val="000000" w:themeColor="text1"/>
                </w:rPr>
              </w:pPr>
              <w:r>
                <w:rPr>
                  <w:caps/>
                  <w:color w:val="000000" w:themeColor="text1"/>
                </w:rPr>
                <w:t xml:space="preserve">HCCA NO. </w:t>
              </w:r>
              <w:r>
                <w:rPr>
                  <w:caps/>
                  <w:color w:val="000000" w:themeColor="text1"/>
                  <w:lang w:val="en-US"/>
                </w:rPr>
                <w:t>E194 of 2024</w:t>
              </w:r>
            </w:p>
          </w:sdtContent>
        </w:sdt>
      </w:tc>
      <w:tc>
        <w:tcPr>
          <w:tcW w:w="250" w:type="pct"/>
          <w:shd w:val="clear" w:color="auto" w:fill="ED7D31" w:themeFill="accent2"/>
          <w:vAlign w:val="center"/>
        </w:tcPr>
        <w:p w14:paraId="408086F4" w14:textId="77777777" w:rsidR="00B130D3" w:rsidRDefault="00B130D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A1B57">
            <w:rPr>
              <w:noProof/>
              <w:color w:val="FFFFFF" w:themeColor="background1"/>
            </w:rPr>
            <w:t>5</w:t>
          </w:r>
          <w:r>
            <w:rPr>
              <w:noProof/>
              <w:color w:val="FFFFFF" w:themeColor="background1"/>
            </w:rPr>
            <w:fldChar w:fldCharType="end"/>
          </w:r>
        </w:p>
      </w:tc>
    </w:tr>
  </w:tbl>
  <w:p w14:paraId="2E330B41" w14:textId="77777777" w:rsidR="00B130D3" w:rsidRDefault="00B130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FE266" w14:textId="77777777" w:rsidR="00635052" w:rsidRDefault="00635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1747A" w14:textId="77777777" w:rsidR="00E55E44" w:rsidRDefault="00E55E44" w:rsidP="00E518EF">
      <w:pPr>
        <w:spacing w:after="0" w:line="240" w:lineRule="auto"/>
      </w:pPr>
      <w:r>
        <w:separator/>
      </w:r>
    </w:p>
  </w:footnote>
  <w:footnote w:type="continuationSeparator" w:id="0">
    <w:p w14:paraId="1D1AD048" w14:textId="77777777" w:rsidR="00E55E44" w:rsidRDefault="00E55E44" w:rsidP="00E51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126A" w14:textId="5C234EAF" w:rsidR="00635052" w:rsidRDefault="00E55E44">
    <w:pPr>
      <w:pStyle w:val="Header"/>
    </w:pPr>
    <w:r>
      <w:rPr>
        <w:noProof/>
      </w:rPr>
      <w:pict w14:anchorId="4C5B0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0907" o:spid="_x0000_s2050" type="#_x0000_t136" style="position:absolute;margin-left:0;margin-top:0;width:479.9pt;height:179.95pt;rotation:315;z-index:-251655168;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41DC3" w14:textId="4701FE19" w:rsidR="00635052" w:rsidRDefault="00E55E44">
    <w:pPr>
      <w:pStyle w:val="Header"/>
    </w:pPr>
    <w:r>
      <w:rPr>
        <w:noProof/>
      </w:rPr>
      <w:pict w14:anchorId="4F95F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0908" o:spid="_x0000_s2051" type="#_x0000_t136" style="position:absolute;margin-left:0;margin-top:0;width:479.9pt;height:179.95pt;rotation:315;z-index:-251653120;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C302" w14:textId="355C6428" w:rsidR="00635052" w:rsidRDefault="00E55E44">
    <w:pPr>
      <w:pStyle w:val="Header"/>
    </w:pPr>
    <w:r>
      <w:rPr>
        <w:noProof/>
      </w:rPr>
      <w:pict w14:anchorId="7FFA0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0906" o:spid="_x0000_s2049" type="#_x0000_t136" style="position:absolute;margin-left:0;margin-top:0;width:479.9pt;height:179.95pt;rotation:315;z-index:-251657216;mso-position-horizontal:center;mso-position-horizontal-relative:margin;mso-position-vertical:center;mso-position-vertical-relative:margin" o:allowincell="f" fillcolor="silver" stroked="f">
          <v:textpath style="font-family:&quot;Calibri&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53C20"/>
    <w:multiLevelType w:val="hybridMultilevel"/>
    <w:tmpl w:val="691A8BB6"/>
    <w:lvl w:ilvl="0" w:tplc="D700C272">
      <w:start w:val="1"/>
      <w:numFmt w:val="decimal"/>
      <w:lvlText w:val="%1."/>
      <w:lvlJc w:val="left"/>
      <w:pPr>
        <w:ind w:left="720" w:hanging="360"/>
      </w:pPr>
      <w:rPr>
        <w:rFonts w:ascii="Arial Nova" w:hAnsi="Arial Nova" w:cs="Times New Roman" w:hint="default"/>
        <w:b w:val="0"/>
        <w:sz w:val="24"/>
        <w:szCs w:val="24"/>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B6D1B"/>
    <w:multiLevelType w:val="hybridMultilevel"/>
    <w:tmpl w:val="2BA608D0"/>
    <w:lvl w:ilvl="0" w:tplc="1264EB52">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837C47"/>
    <w:multiLevelType w:val="hybridMultilevel"/>
    <w:tmpl w:val="7884C488"/>
    <w:lvl w:ilvl="0" w:tplc="39B676FE">
      <w:numFmt w:val="bullet"/>
      <w:lvlText w:val="-"/>
      <w:lvlJc w:val="left"/>
      <w:pPr>
        <w:ind w:left="705" w:hanging="360"/>
      </w:pPr>
      <w:rPr>
        <w:rFonts w:ascii="Rockwell" w:eastAsia="Times New Roman" w:hAnsi="Rockwell"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2D037B13"/>
    <w:multiLevelType w:val="hybridMultilevel"/>
    <w:tmpl w:val="732AB272"/>
    <w:lvl w:ilvl="0" w:tplc="5644E988">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6468B6"/>
    <w:multiLevelType w:val="hybridMultilevel"/>
    <w:tmpl w:val="BE10F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4DD48F1"/>
    <w:multiLevelType w:val="hybridMultilevel"/>
    <w:tmpl w:val="24E26444"/>
    <w:lvl w:ilvl="0" w:tplc="F7344FD4">
      <w:start w:val="47"/>
      <w:numFmt w:val="decimal"/>
      <w:lvlText w:val="%1."/>
      <w:lvlJc w:val="left"/>
      <w:pPr>
        <w:ind w:left="427"/>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1" w:tplc="F0A8DE6E">
      <w:start w:val="1"/>
      <w:numFmt w:val="lowerLetter"/>
      <w:lvlText w:val="%2"/>
      <w:lvlJc w:val="left"/>
      <w:pPr>
        <w:ind w:left="108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2" w:tplc="D41836F6">
      <w:start w:val="1"/>
      <w:numFmt w:val="lowerRoman"/>
      <w:lvlText w:val="%3"/>
      <w:lvlJc w:val="left"/>
      <w:pPr>
        <w:ind w:left="180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3" w:tplc="FB0456CE">
      <w:start w:val="1"/>
      <w:numFmt w:val="decimal"/>
      <w:lvlText w:val="%4"/>
      <w:lvlJc w:val="left"/>
      <w:pPr>
        <w:ind w:left="252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4" w:tplc="8B247A82">
      <w:start w:val="1"/>
      <w:numFmt w:val="lowerLetter"/>
      <w:lvlText w:val="%5"/>
      <w:lvlJc w:val="left"/>
      <w:pPr>
        <w:ind w:left="324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5" w:tplc="4744535A">
      <w:start w:val="1"/>
      <w:numFmt w:val="lowerRoman"/>
      <w:lvlText w:val="%6"/>
      <w:lvlJc w:val="left"/>
      <w:pPr>
        <w:ind w:left="396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6" w:tplc="080C25CC">
      <w:start w:val="1"/>
      <w:numFmt w:val="decimal"/>
      <w:lvlText w:val="%7"/>
      <w:lvlJc w:val="left"/>
      <w:pPr>
        <w:ind w:left="468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7" w:tplc="9056BD3A">
      <w:start w:val="1"/>
      <w:numFmt w:val="lowerLetter"/>
      <w:lvlText w:val="%8"/>
      <w:lvlJc w:val="left"/>
      <w:pPr>
        <w:ind w:left="540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lvl w:ilvl="8" w:tplc="D736BF40">
      <w:start w:val="1"/>
      <w:numFmt w:val="lowerRoman"/>
      <w:lvlText w:val="%9"/>
      <w:lvlJc w:val="left"/>
      <w:pPr>
        <w:ind w:left="6120"/>
      </w:pPr>
      <w:rPr>
        <w:rFonts w:ascii="Georgia" w:eastAsia="Georgia" w:hAnsi="Georgia" w:cs="Georgia"/>
        <w:b w:val="0"/>
        <w:i w:val="0"/>
        <w:strike w:val="0"/>
        <w:dstrike w:val="0"/>
        <w:color w:val="000000"/>
        <w:sz w:val="28"/>
        <w:szCs w:val="28"/>
        <w:u w:val="none" w:color="000000"/>
        <w:bdr w:val="none" w:sz="0" w:space="0" w:color="auto"/>
        <w:shd w:val="clear" w:color="auto" w:fill="auto"/>
        <w:vertAlign w:val="baseline"/>
      </w:rPr>
    </w:lvl>
  </w:abstractNum>
  <w:abstractNum w:abstractNumId="6">
    <w:nsid w:val="6E366EDD"/>
    <w:multiLevelType w:val="hybridMultilevel"/>
    <w:tmpl w:val="F014B740"/>
    <w:lvl w:ilvl="0" w:tplc="5158EFE0">
      <w:start w:val="1"/>
      <w:numFmt w:val="decimal"/>
      <w:suff w:val="nothing"/>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160449"/>
    <w:multiLevelType w:val="hybridMultilevel"/>
    <w:tmpl w:val="D34EE37A"/>
    <w:lvl w:ilvl="0" w:tplc="9D3A5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BF"/>
    <w:rsid w:val="000179E8"/>
    <w:rsid w:val="00021C6C"/>
    <w:rsid w:val="0005370D"/>
    <w:rsid w:val="00086180"/>
    <w:rsid w:val="000A0386"/>
    <w:rsid w:val="000B565A"/>
    <w:rsid w:val="000B6164"/>
    <w:rsid w:val="000C3010"/>
    <w:rsid w:val="000C7989"/>
    <w:rsid w:val="000D019D"/>
    <w:rsid w:val="000D0C56"/>
    <w:rsid w:val="000D70CC"/>
    <w:rsid w:val="000E26C4"/>
    <w:rsid w:val="000E32B7"/>
    <w:rsid w:val="00106FD2"/>
    <w:rsid w:val="00116C0D"/>
    <w:rsid w:val="00117E07"/>
    <w:rsid w:val="00132A23"/>
    <w:rsid w:val="001417A1"/>
    <w:rsid w:val="00146C0D"/>
    <w:rsid w:val="001869B2"/>
    <w:rsid w:val="00197CD5"/>
    <w:rsid w:val="001D5536"/>
    <w:rsid w:val="001D7EB3"/>
    <w:rsid w:val="001E3411"/>
    <w:rsid w:val="001F09F7"/>
    <w:rsid w:val="001F2448"/>
    <w:rsid w:val="0022058A"/>
    <w:rsid w:val="002342D5"/>
    <w:rsid w:val="00234903"/>
    <w:rsid w:val="00246332"/>
    <w:rsid w:val="002545E8"/>
    <w:rsid w:val="00263C76"/>
    <w:rsid w:val="00294624"/>
    <w:rsid w:val="002A0BB1"/>
    <w:rsid w:val="002A1B57"/>
    <w:rsid w:val="002A388C"/>
    <w:rsid w:val="002B40C0"/>
    <w:rsid w:val="002C2E6C"/>
    <w:rsid w:val="002C35D5"/>
    <w:rsid w:val="002D2DB0"/>
    <w:rsid w:val="002E595B"/>
    <w:rsid w:val="002E7D5D"/>
    <w:rsid w:val="002F123C"/>
    <w:rsid w:val="002F477D"/>
    <w:rsid w:val="002F5D00"/>
    <w:rsid w:val="00306C71"/>
    <w:rsid w:val="00316247"/>
    <w:rsid w:val="003348A0"/>
    <w:rsid w:val="00334BD2"/>
    <w:rsid w:val="0034026B"/>
    <w:rsid w:val="00363AFA"/>
    <w:rsid w:val="003662A9"/>
    <w:rsid w:val="00394A93"/>
    <w:rsid w:val="00395670"/>
    <w:rsid w:val="0039687A"/>
    <w:rsid w:val="0040409D"/>
    <w:rsid w:val="004074AC"/>
    <w:rsid w:val="00407961"/>
    <w:rsid w:val="00433974"/>
    <w:rsid w:val="0044520F"/>
    <w:rsid w:val="00450513"/>
    <w:rsid w:val="004736CE"/>
    <w:rsid w:val="00475C82"/>
    <w:rsid w:val="004A27A2"/>
    <w:rsid w:val="004B2F21"/>
    <w:rsid w:val="004C0AB0"/>
    <w:rsid w:val="004C6720"/>
    <w:rsid w:val="004E4DB0"/>
    <w:rsid w:val="00506E0D"/>
    <w:rsid w:val="00560685"/>
    <w:rsid w:val="0056601A"/>
    <w:rsid w:val="005748E8"/>
    <w:rsid w:val="00584650"/>
    <w:rsid w:val="00593B24"/>
    <w:rsid w:val="005A458F"/>
    <w:rsid w:val="005A5241"/>
    <w:rsid w:val="005C06D6"/>
    <w:rsid w:val="005C4DDE"/>
    <w:rsid w:val="005C5687"/>
    <w:rsid w:val="005D1D28"/>
    <w:rsid w:val="005D4DA7"/>
    <w:rsid w:val="005D5F0F"/>
    <w:rsid w:val="005E10EC"/>
    <w:rsid w:val="005E12C8"/>
    <w:rsid w:val="005E1918"/>
    <w:rsid w:val="005E2944"/>
    <w:rsid w:val="005E7D97"/>
    <w:rsid w:val="00601BC9"/>
    <w:rsid w:val="00607D6B"/>
    <w:rsid w:val="0061623B"/>
    <w:rsid w:val="00635052"/>
    <w:rsid w:val="00642955"/>
    <w:rsid w:val="00660998"/>
    <w:rsid w:val="00691A6E"/>
    <w:rsid w:val="006953AC"/>
    <w:rsid w:val="006965CE"/>
    <w:rsid w:val="006A50E9"/>
    <w:rsid w:val="006C0A0C"/>
    <w:rsid w:val="006D2657"/>
    <w:rsid w:val="006F05C4"/>
    <w:rsid w:val="0070209F"/>
    <w:rsid w:val="00704EE9"/>
    <w:rsid w:val="00706321"/>
    <w:rsid w:val="00714C5D"/>
    <w:rsid w:val="007229D4"/>
    <w:rsid w:val="007306B7"/>
    <w:rsid w:val="007327DE"/>
    <w:rsid w:val="007337F8"/>
    <w:rsid w:val="007501CC"/>
    <w:rsid w:val="0075229B"/>
    <w:rsid w:val="00763709"/>
    <w:rsid w:val="00770EBB"/>
    <w:rsid w:val="007733E3"/>
    <w:rsid w:val="00774ED8"/>
    <w:rsid w:val="00787316"/>
    <w:rsid w:val="007C16C4"/>
    <w:rsid w:val="007C23A7"/>
    <w:rsid w:val="00813D11"/>
    <w:rsid w:val="008159EE"/>
    <w:rsid w:val="00836AA8"/>
    <w:rsid w:val="00855F03"/>
    <w:rsid w:val="00857916"/>
    <w:rsid w:val="008711BE"/>
    <w:rsid w:val="00893A26"/>
    <w:rsid w:val="008C3BF9"/>
    <w:rsid w:val="00904488"/>
    <w:rsid w:val="0091699E"/>
    <w:rsid w:val="00917A05"/>
    <w:rsid w:val="009216F2"/>
    <w:rsid w:val="00933835"/>
    <w:rsid w:val="009350BB"/>
    <w:rsid w:val="00947228"/>
    <w:rsid w:val="00954677"/>
    <w:rsid w:val="00967AC6"/>
    <w:rsid w:val="00992658"/>
    <w:rsid w:val="0099273A"/>
    <w:rsid w:val="009B7E4B"/>
    <w:rsid w:val="009C49D3"/>
    <w:rsid w:val="009D05F1"/>
    <w:rsid w:val="009D1CE1"/>
    <w:rsid w:val="009E3452"/>
    <w:rsid w:val="009E7A1E"/>
    <w:rsid w:val="009F48BF"/>
    <w:rsid w:val="00A00BF9"/>
    <w:rsid w:val="00A01278"/>
    <w:rsid w:val="00A0420D"/>
    <w:rsid w:val="00A46E47"/>
    <w:rsid w:val="00A57702"/>
    <w:rsid w:val="00A61B7E"/>
    <w:rsid w:val="00A65E45"/>
    <w:rsid w:val="00A77FA1"/>
    <w:rsid w:val="00A958C1"/>
    <w:rsid w:val="00AA6649"/>
    <w:rsid w:val="00AC00E8"/>
    <w:rsid w:val="00AC1B71"/>
    <w:rsid w:val="00AD59C3"/>
    <w:rsid w:val="00AE0BB1"/>
    <w:rsid w:val="00AF3B21"/>
    <w:rsid w:val="00B02900"/>
    <w:rsid w:val="00B03D6A"/>
    <w:rsid w:val="00B130D3"/>
    <w:rsid w:val="00B25148"/>
    <w:rsid w:val="00B25E27"/>
    <w:rsid w:val="00B34146"/>
    <w:rsid w:val="00B3546E"/>
    <w:rsid w:val="00B52F50"/>
    <w:rsid w:val="00B724D9"/>
    <w:rsid w:val="00B919A8"/>
    <w:rsid w:val="00BB6620"/>
    <w:rsid w:val="00BE25D8"/>
    <w:rsid w:val="00C0249B"/>
    <w:rsid w:val="00C13F48"/>
    <w:rsid w:val="00C15711"/>
    <w:rsid w:val="00C17399"/>
    <w:rsid w:val="00C22C88"/>
    <w:rsid w:val="00C33B3E"/>
    <w:rsid w:val="00C35529"/>
    <w:rsid w:val="00C4684B"/>
    <w:rsid w:val="00C5736A"/>
    <w:rsid w:val="00C64F97"/>
    <w:rsid w:val="00C707CC"/>
    <w:rsid w:val="00C858CA"/>
    <w:rsid w:val="00CB687B"/>
    <w:rsid w:val="00CB7D20"/>
    <w:rsid w:val="00CC6070"/>
    <w:rsid w:val="00CD2EB5"/>
    <w:rsid w:val="00CD59CA"/>
    <w:rsid w:val="00CD7D3B"/>
    <w:rsid w:val="00CF39CA"/>
    <w:rsid w:val="00D41955"/>
    <w:rsid w:val="00D51D4D"/>
    <w:rsid w:val="00D52498"/>
    <w:rsid w:val="00D52E39"/>
    <w:rsid w:val="00D61A20"/>
    <w:rsid w:val="00D635F9"/>
    <w:rsid w:val="00D76783"/>
    <w:rsid w:val="00D80935"/>
    <w:rsid w:val="00D93859"/>
    <w:rsid w:val="00DA52B5"/>
    <w:rsid w:val="00DA606A"/>
    <w:rsid w:val="00DA649D"/>
    <w:rsid w:val="00DA76C2"/>
    <w:rsid w:val="00DB0EE7"/>
    <w:rsid w:val="00DC3327"/>
    <w:rsid w:val="00E26E8E"/>
    <w:rsid w:val="00E324E3"/>
    <w:rsid w:val="00E36127"/>
    <w:rsid w:val="00E518EF"/>
    <w:rsid w:val="00E53881"/>
    <w:rsid w:val="00E55E44"/>
    <w:rsid w:val="00E72003"/>
    <w:rsid w:val="00E75A8F"/>
    <w:rsid w:val="00E8404B"/>
    <w:rsid w:val="00E85DFE"/>
    <w:rsid w:val="00EA47C6"/>
    <w:rsid w:val="00EA48A7"/>
    <w:rsid w:val="00EC1DF6"/>
    <w:rsid w:val="00EC45AE"/>
    <w:rsid w:val="00ED5D3E"/>
    <w:rsid w:val="00ED6A89"/>
    <w:rsid w:val="00EF10C2"/>
    <w:rsid w:val="00EF14E9"/>
    <w:rsid w:val="00EF1F14"/>
    <w:rsid w:val="00F03F76"/>
    <w:rsid w:val="00F17A63"/>
    <w:rsid w:val="00F40D2E"/>
    <w:rsid w:val="00F44293"/>
    <w:rsid w:val="00F6798B"/>
    <w:rsid w:val="00F747BD"/>
    <w:rsid w:val="00F8171E"/>
    <w:rsid w:val="00FA195C"/>
    <w:rsid w:val="00FA6989"/>
    <w:rsid w:val="00FA6A8A"/>
    <w:rsid w:val="00FB09BD"/>
    <w:rsid w:val="00FB48DC"/>
    <w:rsid w:val="00FE1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DFC4DC"/>
  <w15:chartTrackingRefBased/>
  <w15:docId w15:val="{E94F488A-EF70-41A9-A4A5-AB7EE931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BF"/>
    <w:pPr>
      <w:spacing w:line="256" w:lineRule="auto"/>
    </w:pPr>
  </w:style>
  <w:style w:type="paragraph" w:styleId="Heading1">
    <w:name w:val="heading 1"/>
    <w:basedOn w:val="Normal"/>
    <w:next w:val="Normal"/>
    <w:link w:val="Heading1Char"/>
    <w:uiPriority w:val="9"/>
    <w:qFormat/>
    <w:rsid w:val="00C157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881"/>
    <w:pPr>
      <w:ind w:left="720"/>
      <w:contextualSpacing/>
    </w:pPr>
  </w:style>
  <w:style w:type="character" w:styleId="Hyperlink">
    <w:name w:val="Hyperlink"/>
    <w:basedOn w:val="DefaultParagraphFont"/>
    <w:uiPriority w:val="99"/>
    <w:unhideWhenUsed/>
    <w:rsid w:val="00904488"/>
    <w:rPr>
      <w:color w:val="0563C1" w:themeColor="hyperlink"/>
      <w:u w:val="single"/>
    </w:rPr>
  </w:style>
  <w:style w:type="paragraph" w:styleId="Header">
    <w:name w:val="header"/>
    <w:basedOn w:val="Normal"/>
    <w:link w:val="HeaderChar"/>
    <w:uiPriority w:val="99"/>
    <w:unhideWhenUsed/>
    <w:rsid w:val="00E51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8EF"/>
  </w:style>
  <w:style w:type="paragraph" w:styleId="Footer">
    <w:name w:val="footer"/>
    <w:basedOn w:val="Normal"/>
    <w:link w:val="FooterChar"/>
    <w:uiPriority w:val="99"/>
    <w:unhideWhenUsed/>
    <w:rsid w:val="00E51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8EF"/>
  </w:style>
  <w:style w:type="paragraph" w:styleId="NoSpacing">
    <w:name w:val="No Spacing"/>
    <w:uiPriority w:val="1"/>
    <w:qFormat/>
    <w:rsid w:val="001F09F7"/>
    <w:pPr>
      <w:spacing w:after="0" w:line="240" w:lineRule="auto"/>
    </w:pPr>
    <w:rPr>
      <w:lang w:val="en-US"/>
    </w:rPr>
  </w:style>
  <w:style w:type="character" w:customStyle="1" w:styleId="Heading1Char">
    <w:name w:val="Heading 1 Char"/>
    <w:basedOn w:val="DefaultParagraphFont"/>
    <w:link w:val="Heading1"/>
    <w:uiPriority w:val="9"/>
    <w:rsid w:val="00C1571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35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98030">
      <w:bodyDiv w:val="1"/>
      <w:marLeft w:val="0"/>
      <w:marRight w:val="0"/>
      <w:marTop w:val="0"/>
      <w:marBottom w:val="0"/>
      <w:divBdr>
        <w:top w:val="none" w:sz="0" w:space="0" w:color="auto"/>
        <w:left w:val="none" w:sz="0" w:space="0" w:color="auto"/>
        <w:bottom w:val="none" w:sz="0" w:space="0" w:color="auto"/>
        <w:right w:val="none" w:sz="0" w:space="0" w:color="auto"/>
      </w:divBdr>
    </w:div>
    <w:div w:id="1261988651">
      <w:bodyDiv w:val="1"/>
      <w:marLeft w:val="0"/>
      <w:marRight w:val="0"/>
      <w:marTop w:val="0"/>
      <w:marBottom w:val="0"/>
      <w:divBdr>
        <w:top w:val="none" w:sz="0" w:space="0" w:color="auto"/>
        <w:left w:val="none" w:sz="0" w:space="0" w:color="auto"/>
        <w:bottom w:val="none" w:sz="0" w:space="0" w:color="auto"/>
        <w:right w:val="none" w:sz="0" w:space="0" w:color="auto"/>
      </w:divBdr>
    </w:div>
    <w:div w:id="15646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9CCDED089C437E833010D6EAF941D8"/>
        <w:category>
          <w:name w:val="General"/>
          <w:gallery w:val="placeholder"/>
        </w:category>
        <w:types>
          <w:type w:val="bbPlcHdr"/>
        </w:types>
        <w:behaviors>
          <w:behavior w:val="content"/>
        </w:behaviors>
        <w:guid w:val="{22FDD03B-3711-476B-A7E6-7C89A5BF1217}"/>
      </w:docPartPr>
      <w:docPartBody>
        <w:p w:rsidR="0035744C" w:rsidRDefault="0035744C" w:rsidP="0035744C">
          <w:pPr>
            <w:pStyle w:val="CA9CCDED089C437E833010D6EAF941D8"/>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ova">
    <w:altName w:val="Arial"/>
    <w:charset w:val="00"/>
    <w:family w:val="swiss"/>
    <w:pitch w:val="variable"/>
    <w:sig w:usb0="00000001"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4C"/>
    <w:rsid w:val="0035744C"/>
    <w:rsid w:val="005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9CCDED089C437E833010D6EAF941D8">
    <w:name w:val="CA9CCDED089C437E833010D6EAF941D8"/>
    <w:rsid w:val="00357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HCCA NO. E194 of 2024</dc:creator>
  <cp:keywords/>
  <dc:description/>
  <cp:lastModifiedBy>Florence</cp:lastModifiedBy>
  <cp:revision>2</cp:revision>
  <cp:lastPrinted>2025-11-28T09:12:00Z</cp:lastPrinted>
  <dcterms:created xsi:type="dcterms:W3CDTF">2025-12-02T14:00:00Z</dcterms:created>
  <dcterms:modified xsi:type="dcterms:W3CDTF">2025-12-02T14:00:00Z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2d85f830-1185-4de3-9686-59c0cb4f6143</vt:lpwstr>
  </property>
</Properties>
</file>