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2C2" w:rsidRDefault="00637996">
      <w:pPr>
        <w:spacing w:after="0" w:line="360" w:lineRule="auto"/>
        <w:jc w:val="center"/>
        <w:rPr>
          <w:rFonts w:ascii="Rockwell" w:hAnsi="Rockwell"/>
          <w:b/>
          <w:bCs/>
          <w:sz w:val="30"/>
          <w:szCs w:val="30"/>
          <w:u w:val="single"/>
        </w:rPr>
      </w:pPr>
      <w:bookmarkStart w:id="0" w:name="_GoBack"/>
      <w:bookmarkEnd w:id="0"/>
      <w:r>
        <w:rPr>
          <w:rFonts w:ascii="Rockwell" w:eastAsiaTheme="minorEastAsia" w:hAnsi="Rockwell" w:cs="Arial"/>
          <w:b/>
          <w:noProof/>
          <w:sz w:val="30"/>
          <w:szCs w:val="30"/>
          <w:u w:val="single"/>
          <w:lang w:val="en-US"/>
        </w:rPr>
        <w:drawing>
          <wp:inline distT="0" distB="0" distL="0" distR="0">
            <wp:extent cx="876300" cy="7048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76300" cy="704850"/>
                    </a:xfrm>
                    <a:prstGeom prst="rect">
                      <a:avLst/>
                    </a:prstGeom>
                    <a:solidFill>
                      <a:srgbClr val="FFFFFF"/>
                    </a:solidFill>
                    <a:ln>
                      <a:noFill/>
                    </a:ln>
                  </pic:spPr>
                </pic:pic>
              </a:graphicData>
            </a:graphic>
          </wp:inline>
        </w:drawing>
      </w:r>
    </w:p>
    <w:p w:rsidR="006012C2" w:rsidRDefault="00637996">
      <w:pPr>
        <w:spacing w:after="0" w:line="360" w:lineRule="auto"/>
        <w:jc w:val="center"/>
        <w:rPr>
          <w:rFonts w:ascii="Rockwell" w:hAnsi="Rockwell"/>
          <w:b/>
          <w:bCs/>
          <w:sz w:val="30"/>
          <w:szCs w:val="30"/>
          <w:u w:val="single"/>
        </w:rPr>
      </w:pPr>
      <w:r>
        <w:rPr>
          <w:rFonts w:ascii="Rockwell" w:hAnsi="Rockwell"/>
          <w:b/>
          <w:bCs/>
          <w:sz w:val="30"/>
          <w:szCs w:val="30"/>
          <w:u w:val="single"/>
        </w:rPr>
        <w:t>REPUBLIC OF KENYA</w:t>
      </w:r>
    </w:p>
    <w:p w:rsidR="006012C2" w:rsidRDefault="00637996">
      <w:pPr>
        <w:spacing w:after="0" w:line="360" w:lineRule="auto"/>
        <w:jc w:val="center"/>
        <w:rPr>
          <w:rFonts w:ascii="Rockwell" w:hAnsi="Rockwell"/>
          <w:b/>
          <w:bCs/>
          <w:sz w:val="30"/>
          <w:szCs w:val="30"/>
          <w:u w:val="single"/>
        </w:rPr>
      </w:pPr>
      <w:r>
        <w:rPr>
          <w:rFonts w:ascii="Rockwell" w:hAnsi="Rockwell"/>
          <w:b/>
          <w:bCs/>
          <w:sz w:val="30"/>
          <w:szCs w:val="30"/>
          <w:u w:val="single"/>
        </w:rPr>
        <w:t>IN THE HIGH COURT OF KENYA AT MACHAKOS</w:t>
      </w:r>
    </w:p>
    <w:p w:rsidR="006012C2" w:rsidRDefault="00637996">
      <w:pPr>
        <w:spacing w:after="0" w:line="360" w:lineRule="auto"/>
        <w:jc w:val="center"/>
        <w:rPr>
          <w:rFonts w:ascii="Rockwell" w:hAnsi="Rockwell"/>
          <w:b/>
          <w:bCs/>
          <w:sz w:val="30"/>
          <w:szCs w:val="30"/>
          <w:u w:val="single"/>
          <w:lang w:val="en-US"/>
        </w:rPr>
      </w:pPr>
      <w:r>
        <w:rPr>
          <w:rFonts w:ascii="Rockwell" w:hAnsi="Rockwell"/>
          <w:b/>
          <w:bCs/>
          <w:sz w:val="30"/>
          <w:szCs w:val="30"/>
          <w:u w:val="single"/>
          <w:lang w:val="en-US"/>
        </w:rPr>
        <w:t>MISC</w:t>
      </w:r>
      <w:r>
        <w:rPr>
          <w:rFonts w:ascii="Rockwell" w:hAnsi="Rockwell"/>
          <w:b/>
          <w:bCs/>
          <w:sz w:val="30"/>
          <w:szCs w:val="30"/>
          <w:u w:val="single"/>
        </w:rPr>
        <w:t xml:space="preserve"> </w:t>
      </w:r>
      <w:r>
        <w:rPr>
          <w:rFonts w:ascii="Rockwell" w:hAnsi="Rockwell"/>
          <w:b/>
          <w:bCs/>
          <w:sz w:val="30"/>
          <w:szCs w:val="30"/>
          <w:u w:val="single"/>
          <w:lang w:val="en-US"/>
        </w:rPr>
        <w:t>APP</w:t>
      </w:r>
      <w:r>
        <w:rPr>
          <w:rFonts w:ascii="Rockwell" w:hAnsi="Rockwell"/>
          <w:b/>
          <w:bCs/>
          <w:sz w:val="30"/>
          <w:szCs w:val="30"/>
          <w:u w:val="single"/>
        </w:rPr>
        <w:t xml:space="preserve"> NO. E</w:t>
      </w:r>
      <w:r>
        <w:rPr>
          <w:rFonts w:ascii="Rockwell" w:hAnsi="Rockwell"/>
          <w:b/>
          <w:bCs/>
          <w:sz w:val="30"/>
          <w:szCs w:val="30"/>
          <w:u w:val="single"/>
          <w:lang w:val="en-US"/>
        </w:rPr>
        <w:t>151</w:t>
      </w:r>
      <w:r>
        <w:rPr>
          <w:rFonts w:ascii="Rockwell" w:hAnsi="Rockwell"/>
          <w:b/>
          <w:bCs/>
          <w:sz w:val="30"/>
          <w:szCs w:val="30"/>
          <w:u w:val="single"/>
        </w:rPr>
        <w:t xml:space="preserve"> OF 202</w:t>
      </w:r>
      <w:r>
        <w:rPr>
          <w:rFonts w:ascii="Rockwell" w:hAnsi="Rockwell"/>
          <w:b/>
          <w:bCs/>
          <w:sz w:val="30"/>
          <w:szCs w:val="30"/>
          <w:u w:val="single"/>
          <w:lang w:val="en-US"/>
        </w:rPr>
        <w:t>5</w:t>
      </w:r>
    </w:p>
    <w:p w:rsidR="006012C2" w:rsidRDefault="006012C2">
      <w:pPr>
        <w:spacing w:after="0" w:line="360" w:lineRule="auto"/>
        <w:jc w:val="center"/>
        <w:rPr>
          <w:rFonts w:ascii="Rockwell" w:hAnsi="Rockwell"/>
          <w:b/>
          <w:bCs/>
          <w:sz w:val="30"/>
          <w:szCs w:val="30"/>
          <w:u w:val="single"/>
          <w:lang w:val="en-US"/>
        </w:rPr>
      </w:pPr>
    </w:p>
    <w:p w:rsidR="006012C2" w:rsidRDefault="00637996">
      <w:pPr>
        <w:spacing w:after="0" w:line="360" w:lineRule="auto"/>
        <w:jc w:val="both"/>
        <w:rPr>
          <w:rFonts w:ascii="Rockwell" w:hAnsi="Rockwell"/>
          <w:b/>
          <w:bCs/>
          <w:sz w:val="30"/>
          <w:szCs w:val="30"/>
          <w:lang w:val="en-US"/>
        </w:rPr>
      </w:pPr>
      <w:r>
        <w:rPr>
          <w:rFonts w:ascii="Rockwell" w:hAnsi="Rockwell"/>
          <w:b/>
          <w:bCs/>
          <w:sz w:val="30"/>
          <w:szCs w:val="30"/>
          <w:lang w:val="en-US"/>
        </w:rPr>
        <w:t>PAULINE KATANU PAUL…………………………….1</w:t>
      </w:r>
      <w:r>
        <w:rPr>
          <w:rFonts w:ascii="Rockwell" w:hAnsi="Rockwell"/>
          <w:b/>
          <w:bCs/>
          <w:sz w:val="30"/>
          <w:szCs w:val="30"/>
          <w:vertAlign w:val="superscript"/>
          <w:lang w:val="en-US"/>
        </w:rPr>
        <w:t>st</w:t>
      </w:r>
      <w:r>
        <w:rPr>
          <w:rFonts w:ascii="Rockwell" w:hAnsi="Rockwell"/>
          <w:b/>
          <w:bCs/>
          <w:sz w:val="30"/>
          <w:szCs w:val="30"/>
          <w:lang w:val="en-US"/>
        </w:rPr>
        <w:t xml:space="preserve"> APPLICANT</w:t>
      </w:r>
    </w:p>
    <w:p w:rsidR="006012C2" w:rsidRDefault="00637996">
      <w:pPr>
        <w:spacing w:after="0" w:line="360" w:lineRule="auto"/>
        <w:rPr>
          <w:rFonts w:ascii="Rockwell" w:hAnsi="Rockwell"/>
          <w:b/>
          <w:bCs/>
          <w:sz w:val="30"/>
          <w:szCs w:val="30"/>
          <w:lang w:val="en-US"/>
        </w:rPr>
      </w:pPr>
      <w:r>
        <w:rPr>
          <w:rFonts w:ascii="Rockwell" w:hAnsi="Rockwell"/>
          <w:b/>
          <w:bCs/>
          <w:sz w:val="30"/>
          <w:szCs w:val="30"/>
          <w:lang w:val="en-US"/>
        </w:rPr>
        <w:t>GABRIEL MUTHIANI………….……………….……2</w:t>
      </w:r>
      <w:r>
        <w:rPr>
          <w:rFonts w:ascii="Rockwell" w:hAnsi="Rockwell"/>
          <w:b/>
          <w:bCs/>
          <w:sz w:val="30"/>
          <w:szCs w:val="30"/>
          <w:vertAlign w:val="superscript"/>
          <w:lang w:val="en-US"/>
        </w:rPr>
        <w:t>ND</w:t>
      </w:r>
      <w:r>
        <w:rPr>
          <w:rFonts w:ascii="Rockwell" w:hAnsi="Rockwell"/>
          <w:b/>
          <w:bCs/>
          <w:sz w:val="30"/>
          <w:szCs w:val="30"/>
          <w:lang w:val="en-US"/>
        </w:rPr>
        <w:t xml:space="preserve"> APPLICANT</w:t>
      </w:r>
    </w:p>
    <w:p w:rsidR="006012C2" w:rsidRDefault="00637996">
      <w:pPr>
        <w:spacing w:after="0" w:line="360" w:lineRule="auto"/>
        <w:jc w:val="center"/>
        <w:rPr>
          <w:rFonts w:ascii="Rockwell" w:hAnsi="Rockwell"/>
          <w:b/>
          <w:bCs/>
          <w:i/>
          <w:sz w:val="30"/>
          <w:szCs w:val="30"/>
        </w:rPr>
      </w:pPr>
      <w:r>
        <w:rPr>
          <w:rFonts w:ascii="Rockwell" w:hAnsi="Rockwell"/>
          <w:b/>
          <w:bCs/>
          <w:i/>
          <w:sz w:val="30"/>
          <w:szCs w:val="30"/>
        </w:rPr>
        <w:t>VERSUS</w:t>
      </w:r>
    </w:p>
    <w:p w:rsidR="006012C2" w:rsidRDefault="00637996">
      <w:pPr>
        <w:spacing w:after="0" w:line="360" w:lineRule="auto"/>
        <w:jc w:val="both"/>
        <w:rPr>
          <w:rFonts w:ascii="Rockwell" w:hAnsi="Rockwell"/>
          <w:b/>
          <w:bCs/>
          <w:sz w:val="30"/>
          <w:szCs w:val="30"/>
          <w:lang w:val="en-US"/>
        </w:rPr>
      </w:pPr>
      <w:bookmarkStart w:id="1" w:name="_Hlk213138768"/>
      <w:r>
        <w:rPr>
          <w:rFonts w:ascii="Rockwell" w:hAnsi="Rockwell"/>
          <w:b/>
          <w:bCs/>
          <w:sz w:val="30"/>
          <w:szCs w:val="30"/>
          <w:lang w:val="en-US"/>
        </w:rPr>
        <w:t>ROSALIA NDINDA MATEI</w:t>
      </w:r>
    </w:p>
    <w:p w:rsidR="006012C2" w:rsidRDefault="00637996">
      <w:pPr>
        <w:spacing w:after="0" w:line="360" w:lineRule="auto"/>
        <w:jc w:val="both"/>
        <w:rPr>
          <w:rFonts w:ascii="Rockwell" w:hAnsi="Rockwell"/>
          <w:b/>
          <w:bCs/>
          <w:sz w:val="30"/>
          <w:szCs w:val="30"/>
          <w:lang w:val="en-US"/>
        </w:rPr>
      </w:pPr>
      <w:r>
        <w:rPr>
          <w:rFonts w:ascii="Rockwell" w:hAnsi="Rockwell"/>
          <w:b/>
          <w:bCs/>
          <w:sz w:val="30"/>
          <w:szCs w:val="30"/>
          <w:lang w:val="en-US"/>
        </w:rPr>
        <w:t>STELLA MUKULU MUTUA</w:t>
      </w:r>
    </w:p>
    <w:p w:rsidR="006012C2" w:rsidRDefault="00637996">
      <w:pPr>
        <w:spacing w:after="0" w:line="360" w:lineRule="auto"/>
        <w:jc w:val="both"/>
        <w:rPr>
          <w:rFonts w:ascii="Rockwell" w:hAnsi="Rockwell"/>
          <w:bCs/>
          <w:sz w:val="30"/>
          <w:szCs w:val="30"/>
          <w:lang w:val="en-US"/>
        </w:rPr>
      </w:pPr>
      <w:r>
        <w:rPr>
          <w:rFonts w:ascii="Rockwell" w:hAnsi="Rockwell"/>
          <w:b/>
          <w:bCs/>
          <w:sz w:val="30"/>
          <w:szCs w:val="30"/>
          <w:lang w:val="en-US"/>
        </w:rPr>
        <w:t>MATHEW KIMEU MUTUA (</w:t>
      </w:r>
      <w:r>
        <w:rPr>
          <w:rFonts w:ascii="Rockwell" w:hAnsi="Rockwell"/>
          <w:bCs/>
          <w:sz w:val="30"/>
          <w:szCs w:val="30"/>
          <w:lang w:val="en-US"/>
        </w:rPr>
        <w:t xml:space="preserve">Suing as the </w:t>
      </w:r>
    </w:p>
    <w:p w:rsidR="006012C2" w:rsidRDefault="00637996">
      <w:pPr>
        <w:spacing w:after="0" w:line="360" w:lineRule="auto"/>
        <w:jc w:val="both"/>
        <w:rPr>
          <w:rFonts w:ascii="Rockwell" w:hAnsi="Rockwell"/>
          <w:bCs/>
          <w:sz w:val="30"/>
          <w:szCs w:val="30"/>
          <w:lang w:val="en-US"/>
        </w:rPr>
      </w:pPr>
      <w:r>
        <w:rPr>
          <w:rFonts w:ascii="Rockwell" w:hAnsi="Rockwell"/>
          <w:bCs/>
          <w:sz w:val="30"/>
          <w:szCs w:val="30"/>
          <w:lang w:val="en-US"/>
        </w:rPr>
        <w:t xml:space="preserve">personal representatives of the estate </w:t>
      </w:r>
    </w:p>
    <w:p w:rsidR="006012C2" w:rsidRDefault="00637996">
      <w:pPr>
        <w:spacing w:after="0" w:line="360" w:lineRule="auto"/>
        <w:jc w:val="both"/>
        <w:rPr>
          <w:rFonts w:ascii="Rockwell" w:hAnsi="Rockwell"/>
          <w:b/>
          <w:bCs/>
          <w:sz w:val="30"/>
          <w:szCs w:val="30"/>
          <w:lang w:val="en-US"/>
        </w:rPr>
      </w:pPr>
      <w:r>
        <w:rPr>
          <w:rFonts w:ascii="Rockwell" w:hAnsi="Rockwell"/>
          <w:b/>
          <w:bCs/>
          <w:sz w:val="30"/>
          <w:szCs w:val="30"/>
          <w:lang w:val="en-US"/>
        </w:rPr>
        <w:t>of FIDELIS MUTUA KIMEU</w:t>
      </w:r>
      <w:bookmarkEnd w:id="1"/>
      <w:r>
        <w:rPr>
          <w:rFonts w:ascii="Rockwell" w:hAnsi="Rockwell"/>
          <w:b/>
          <w:bCs/>
          <w:sz w:val="30"/>
          <w:szCs w:val="30"/>
          <w:lang w:val="en-US"/>
        </w:rPr>
        <w:t>……………………….</w:t>
      </w:r>
      <w:r>
        <w:rPr>
          <w:rFonts w:ascii="Rockwell" w:hAnsi="Rockwell"/>
          <w:b/>
          <w:bCs/>
          <w:sz w:val="30"/>
          <w:szCs w:val="30"/>
        </w:rPr>
        <w:t>RESPONDENT</w:t>
      </w:r>
      <w:r>
        <w:rPr>
          <w:rFonts w:ascii="Rockwell" w:hAnsi="Rockwell"/>
          <w:b/>
          <w:bCs/>
          <w:sz w:val="30"/>
          <w:szCs w:val="30"/>
          <w:lang w:val="en-US"/>
        </w:rPr>
        <w:t>S</w:t>
      </w:r>
    </w:p>
    <w:p w:rsidR="006012C2" w:rsidRDefault="00637996">
      <w:pPr>
        <w:spacing w:line="360" w:lineRule="auto"/>
        <w:jc w:val="center"/>
        <w:rPr>
          <w:rFonts w:ascii="Rockwell" w:hAnsi="Rockwell"/>
          <w:b/>
          <w:bCs/>
          <w:sz w:val="30"/>
          <w:szCs w:val="30"/>
          <w:u w:val="single"/>
          <w:lang w:val="en-US"/>
        </w:rPr>
      </w:pPr>
      <w:r>
        <w:rPr>
          <w:rFonts w:ascii="Rockwell" w:hAnsi="Rockwell"/>
          <w:b/>
          <w:bCs/>
          <w:sz w:val="30"/>
          <w:szCs w:val="30"/>
          <w:u w:val="single"/>
          <w:lang w:val="en-US"/>
        </w:rPr>
        <w:t>RULING</w:t>
      </w:r>
    </w:p>
    <w:p w:rsidR="006012C2" w:rsidRDefault="00637996">
      <w:pPr>
        <w:pStyle w:val="ListParagraph"/>
        <w:numPr>
          <w:ilvl w:val="0"/>
          <w:numId w:val="1"/>
        </w:numPr>
        <w:spacing w:line="360" w:lineRule="auto"/>
        <w:jc w:val="both"/>
        <w:rPr>
          <w:sz w:val="30"/>
          <w:szCs w:val="30"/>
        </w:rPr>
      </w:pPr>
      <w:r>
        <w:rPr>
          <w:rFonts w:ascii="Rockwell" w:hAnsi="Rockwell"/>
          <w:sz w:val="30"/>
          <w:szCs w:val="30"/>
        </w:rPr>
        <w:t>This ruling relates to the Applicant’s Notice of Motion</w:t>
      </w:r>
      <w:r>
        <w:rPr>
          <w:rFonts w:ascii="Rockwell" w:hAnsi="Rockwell"/>
          <w:sz w:val="30"/>
          <w:szCs w:val="30"/>
          <w:lang w:val="en-US"/>
        </w:rPr>
        <w:t xml:space="preserve"> dated 8/05/2025 seeking the following orders;</w:t>
      </w:r>
    </w:p>
    <w:p w:rsidR="006012C2" w:rsidRDefault="00637996">
      <w:pPr>
        <w:spacing w:line="360" w:lineRule="auto"/>
        <w:ind w:left="720"/>
        <w:jc w:val="both"/>
        <w:rPr>
          <w:b/>
          <w:bCs/>
          <w:i/>
          <w:iCs/>
          <w:sz w:val="30"/>
          <w:szCs w:val="30"/>
        </w:rPr>
      </w:pPr>
      <w:r>
        <w:rPr>
          <w:rFonts w:ascii="Rockwell" w:hAnsi="Rockwell"/>
          <w:b/>
          <w:bCs/>
          <w:i/>
          <w:iCs/>
          <w:sz w:val="30"/>
          <w:szCs w:val="30"/>
          <w:lang w:val="en-US"/>
        </w:rPr>
        <w:t>“a. Spent</w:t>
      </w:r>
    </w:p>
    <w:p w:rsidR="006012C2" w:rsidRDefault="00637996">
      <w:pPr>
        <w:pStyle w:val="ListParagraph"/>
        <w:numPr>
          <w:ilvl w:val="0"/>
          <w:numId w:val="2"/>
        </w:numPr>
        <w:spacing w:line="360" w:lineRule="auto"/>
        <w:jc w:val="both"/>
        <w:rPr>
          <w:b/>
          <w:bCs/>
          <w:i/>
          <w:iCs/>
          <w:sz w:val="30"/>
          <w:szCs w:val="30"/>
        </w:rPr>
      </w:pPr>
      <w:r>
        <w:rPr>
          <w:rFonts w:ascii="Rockwell" w:hAnsi="Rockwell"/>
          <w:b/>
          <w:bCs/>
          <w:i/>
          <w:iCs/>
          <w:sz w:val="30"/>
          <w:szCs w:val="30"/>
          <w:lang w:val="en-US"/>
        </w:rPr>
        <w:t>Spent</w:t>
      </w:r>
    </w:p>
    <w:p w:rsidR="006012C2" w:rsidRDefault="00637996">
      <w:pPr>
        <w:pStyle w:val="ListParagraph"/>
        <w:numPr>
          <w:ilvl w:val="0"/>
          <w:numId w:val="2"/>
        </w:numPr>
        <w:spacing w:line="360" w:lineRule="auto"/>
        <w:jc w:val="both"/>
        <w:rPr>
          <w:b/>
          <w:bCs/>
          <w:i/>
          <w:iCs/>
          <w:sz w:val="30"/>
          <w:szCs w:val="30"/>
        </w:rPr>
      </w:pPr>
      <w:r>
        <w:rPr>
          <w:rFonts w:ascii="Rockwell" w:hAnsi="Rockwell"/>
          <w:b/>
          <w:bCs/>
          <w:i/>
          <w:iCs/>
          <w:sz w:val="30"/>
          <w:szCs w:val="30"/>
          <w:lang w:val="en-US"/>
        </w:rPr>
        <w:t>The Honourable Court be pleased to grant a stay of execution of the judgment and/or decree delivered on 28</w:t>
      </w:r>
      <w:r>
        <w:rPr>
          <w:rFonts w:ascii="Rockwell" w:hAnsi="Rockwell"/>
          <w:b/>
          <w:bCs/>
          <w:i/>
          <w:iCs/>
          <w:sz w:val="30"/>
          <w:szCs w:val="30"/>
          <w:vertAlign w:val="superscript"/>
          <w:lang w:val="en-US"/>
        </w:rPr>
        <w:t>th</w:t>
      </w:r>
      <w:r>
        <w:rPr>
          <w:rFonts w:ascii="Rockwell" w:hAnsi="Rockwell"/>
          <w:b/>
          <w:bCs/>
          <w:i/>
          <w:iCs/>
          <w:sz w:val="30"/>
          <w:szCs w:val="30"/>
          <w:lang w:val="en-US"/>
        </w:rPr>
        <w:t xml:space="preserve"> March 2025 for Kshs 2,633,100/= together with costs and interests pending hearing and determination of the intended appeal.</w:t>
      </w:r>
    </w:p>
    <w:p w:rsidR="006012C2" w:rsidRDefault="00637996">
      <w:pPr>
        <w:pStyle w:val="ListParagraph"/>
        <w:numPr>
          <w:ilvl w:val="0"/>
          <w:numId w:val="2"/>
        </w:numPr>
        <w:spacing w:line="360" w:lineRule="auto"/>
        <w:jc w:val="both"/>
        <w:rPr>
          <w:rFonts w:ascii="Rockwell" w:hAnsi="Rockwell"/>
          <w:b/>
          <w:bCs/>
          <w:i/>
          <w:iCs/>
          <w:sz w:val="30"/>
          <w:szCs w:val="30"/>
          <w:lang w:val="en-US"/>
        </w:rPr>
      </w:pPr>
      <w:r>
        <w:rPr>
          <w:rFonts w:ascii="Rockwell" w:hAnsi="Rockwell"/>
          <w:b/>
          <w:bCs/>
          <w:i/>
          <w:iCs/>
          <w:sz w:val="30"/>
          <w:szCs w:val="30"/>
          <w:lang w:val="en-US"/>
        </w:rPr>
        <w:lastRenderedPageBreak/>
        <w:t xml:space="preserve">The Honourable Court be pleased to grant leave to the Applicant to file an appeal out if time from the judgment and decree by Hon. </w:t>
      </w:r>
      <w:r>
        <w:rPr>
          <w:rFonts w:ascii="Rockwell" w:hAnsi="Rockwell"/>
          <w:b/>
          <w:bCs/>
          <w:i/>
          <w:iCs/>
          <w:sz w:val="30"/>
          <w:szCs w:val="30"/>
          <w:lang w:val="en-US"/>
        </w:rPr>
        <w:t>Silas Kemei (CM) delivered 28</w:t>
      </w:r>
      <w:r>
        <w:rPr>
          <w:rFonts w:ascii="Rockwell" w:hAnsi="Rockwell"/>
          <w:b/>
          <w:bCs/>
          <w:i/>
          <w:iCs/>
          <w:sz w:val="30"/>
          <w:szCs w:val="30"/>
          <w:vertAlign w:val="superscript"/>
          <w:lang w:val="en-US"/>
        </w:rPr>
        <w:t>th</w:t>
      </w:r>
      <w:r>
        <w:rPr>
          <w:rFonts w:ascii="Rockwell" w:hAnsi="Rockwell"/>
          <w:b/>
          <w:bCs/>
          <w:i/>
          <w:iCs/>
          <w:sz w:val="30"/>
          <w:szCs w:val="30"/>
          <w:lang w:val="en-US"/>
        </w:rPr>
        <w:t xml:space="preserve"> March 2025 in Mavoko MCCC No E507 of 2024; Rosalia Ndinda ,Stella Mukulu Mutua and Mathew Kimeu Mutua (Suing as the personal representatives of the estate of Fidelis Mutua Kimeu vs Pauline Katanu Paul and Gabriel Muthiani</w:t>
      </w:r>
    </w:p>
    <w:p w:rsidR="006012C2" w:rsidRDefault="00637996">
      <w:pPr>
        <w:pStyle w:val="ListParagraph"/>
        <w:numPr>
          <w:ilvl w:val="0"/>
          <w:numId w:val="2"/>
        </w:numPr>
        <w:spacing w:line="360" w:lineRule="auto"/>
        <w:jc w:val="both"/>
        <w:rPr>
          <w:rFonts w:ascii="Rockwell" w:hAnsi="Rockwell"/>
          <w:b/>
          <w:bCs/>
          <w:i/>
          <w:iCs/>
          <w:sz w:val="30"/>
          <w:szCs w:val="30"/>
          <w:lang w:val="en-US"/>
        </w:rPr>
      </w:pPr>
      <w:r>
        <w:rPr>
          <w:rFonts w:ascii="Rockwell" w:hAnsi="Rockwell"/>
          <w:b/>
          <w:bCs/>
          <w:i/>
          <w:iCs/>
          <w:sz w:val="30"/>
          <w:szCs w:val="30"/>
          <w:lang w:val="en-US"/>
        </w:rPr>
        <w:t>In</w:t>
      </w:r>
      <w:r>
        <w:rPr>
          <w:rFonts w:ascii="Rockwell" w:hAnsi="Rockwell"/>
          <w:b/>
          <w:bCs/>
          <w:i/>
          <w:iCs/>
          <w:sz w:val="30"/>
          <w:szCs w:val="30"/>
          <w:lang w:val="en-US"/>
        </w:rPr>
        <w:t xml:space="preserve"> addition to prayer 4 above, the annexed Memorandum of Appeal be allowed.</w:t>
      </w:r>
    </w:p>
    <w:p w:rsidR="006012C2" w:rsidRDefault="00637996">
      <w:pPr>
        <w:pStyle w:val="ListParagraph"/>
        <w:numPr>
          <w:ilvl w:val="0"/>
          <w:numId w:val="2"/>
        </w:numPr>
        <w:spacing w:line="360" w:lineRule="auto"/>
        <w:jc w:val="both"/>
        <w:rPr>
          <w:rFonts w:ascii="Rockwell" w:hAnsi="Rockwell"/>
          <w:b/>
          <w:bCs/>
          <w:i/>
          <w:iCs/>
          <w:sz w:val="30"/>
          <w:szCs w:val="30"/>
          <w:lang w:val="en-US"/>
        </w:rPr>
      </w:pPr>
      <w:r>
        <w:rPr>
          <w:rFonts w:ascii="Rockwell" w:hAnsi="Rockwell"/>
          <w:b/>
          <w:bCs/>
          <w:i/>
          <w:iCs/>
          <w:sz w:val="30"/>
          <w:szCs w:val="30"/>
          <w:lang w:val="en-US"/>
        </w:rPr>
        <w:t>The costs of this application be in the cause.”</w:t>
      </w:r>
    </w:p>
    <w:p w:rsidR="006012C2" w:rsidRDefault="00637996">
      <w:pPr>
        <w:pStyle w:val="ListParagraph"/>
        <w:numPr>
          <w:ilvl w:val="0"/>
          <w:numId w:val="1"/>
        </w:numPr>
        <w:spacing w:line="360" w:lineRule="auto"/>
        <w:jc w:val="both"/>
        <w:rPr>
          <w:rFonts w:ascii="Rockwell" w:hAnsi="Rockwell"/>
          <w:sz w:val="30"/>
          <w:szCs w:val="30"/>
          <w:lang w:val="en-US"/>
        </w:rPr>
      </w:pPr>
      <w:r>
        <w:rPr>
          <w:rFonts w:ascii="Rockwell" w:hAnsi="Rockwell"/>
          <w:sz w:val="30"/>
          <w:szCs w:val="30"/>
          <w:lang w:val="en-US"/>
        </w:rPr>
        <w:t>The application is opposed by the Replying affidavit of the 1</w:t>
      </w:r>
      <w:r>
        <w:rPr>
          <w:rFonts w:ascii="Rockwell" w:hAnsi="Rockwell"/>
          <w:sz w:val="30"/>
          <w:szCs w:val="30"/>
          <w:vertAlign w:val="superscript"/>
          <w:lang w:val="en-US"/>
        </w:rPr>
        <w:t>st</w:t>
      </w:r>
      <w:r>
        <w:rPr>
          <w:rFonts w:ascii="Rockwell" w:hAnsi="Rockwell"/>
          <w:sz w:val="30"/>
          <w:szCs w:val="30"/>
          <w:lang w:val="en-US"/>
        </w:rPr>
        <w:t xml:space="preserve"> Rosalia Ndinda Matei who stated that 30 days stay of execution was gra</w:t>
      </w:r>
      <w:r>
        <w:rPr>
          <w:rFonts w:ascii="Rockwell" w:hAnsi="Rockwell"/>
          <w:sz w:val="30"/>
          <w:szCs w:val="30"/>
          <w:lang w:val="en-US"/>
        </w:rPr>
        <w:t>nted on 28/3/2025 and that they did not file any appeal or take any action towards filing one neither did they give the reason why they did not consult the insurer. Therefore, the delay was for 30 days and not 10 days as alleged by the Applicant. The court</w:t>
      </w:r>
      <w:r>
        <w:rPr>
          <w:rFonts w:ascii="Rockwell" w:hAnsi="Rockwell"/>
          <w:sz w:val="30"/>
          <w:szCs w:val="30"/>
          <w:lang w:val="en-US"/>
        </w:rPr>
        <w:t xml:space="preserve"> was urged to dismiss the application as it was brought in bad faith, is an abuse of the court process and is an attempt to deny and/or frustrate the ends of justice.</w:t>
      </w:r>
    </w:p>
    <w:p w:rsidR="006012C2" w:rsidRDefault="006012C2">
      <w:pPr>
        <w:pStyle w:val="ListParagraph"/>
        <w:spacing w:line="360" w:lineRule="auto"/>
        <w:ind w:left="360"/>
        <w:jc w:val="both"/>
        <w:rPr>
          <w:rFonts w:ascii="Rockwell" w:hAnsi="Rockwell"/>
          <w:sz w:val="30"/>
          <w:szCs w:val="30"/>
          <w:lang w:val="en-US"/>
        </w:rPr>
      </w:pPr>
    </w:p>
    <w:p w:rsidR="006012C2" w:rsidRDefault="00637996">
      <w:pPr>
        <w:pStyle w:val="ListParagraph"/>
        <w:numPr>
          <w:ilvl w:val="0"/>
          <w:numId w:val="1"/>
        </w:numPr>
        <w:spacing w:line="360" w:lineRule="auto"/>
        <w:jc w:val="both"/>
        <w:rPr>
          <w:rFonts w:ascii="Rockwell" w:hAnsi="Rockwell"/>
          <w:sz w:val="30"/>
          <w:szCs w:val="30"/>
          <w:lang w:val="en-US"/>
        </w:rPr>
      </w:pPr>
      <w:r>
        <w:rPr>
          <w:rFonts w:ascii="Rockwell" w:hAnsi="Rockwell"/>
          <w:sz w:val="30"/>
          <w:szCs w:val="30"/>
          <w:lang w:val="en-US"/>
        </w:rPr>
        <w:t>The application was to be canvassed by way of written submissions as per the order dated</w:t>
      </w:r>
      <w:r>
        <w:rPr>
          <w:rFonts w:ascii="Rockwell" w:hAnsi="Rockwell"/>
          <w:sz w:val="30"/>
          <w:szCs w:val="30"/>
          <w:lang w:val="en-US"/>
        </w:rPr>
        <w:t xml:space="preserve"> 24/06/2025 however there were no submissions on the CTS or in the physical file as at the time of writing the ruling.</w:t>
      </w:r>
    </w:p>
    <w:p w:rsidR="006012C2" w:rsidRDefault="006012C2">
      <w:pPr>
        <w:spacing w:line="360" w:lineRule="auto"/>
        <w:ind w:left="360"/>
        <w:jc w:val="both"/>
        <w:rPr>
          <w:rFonts w:ascii="Rockwell" w:hAnsi="Rockwell"/>
          <w:b/>
          <w:bCs/>
          <w:sz w:val="30"/>
          <w:szCs w:val="30"/>
          <w:u w:val="single"/>
          <w:lang w:val="en-US"/>
        </w:rPr>
      </w:pPr>
    </w:p>
    <w:p w:rsidR="006012C2" w:rsidRDefault="006012C2">
      <w:pPr>
        <w:spacing w:line="360" w:lineRule="auto"/>
        <w:ind w:left="360"/>
        <w:jc w:val="both"/>
        <w:rPr>
          <w:rFonts w:ascii="Rockwell" w:hAnsi="Rockwell"/>
          <w:b/>
          <w:bCs/>
          <w:sz w:val="30"/>
          <w:szCs w:val="30"/>
          <w:u w:val="single"/>
          <w:lang w:val="en-US"/>
        </w:rPr>
      </w:pPr>
    </w:p>
    <w:p w:rsidR="006012C2" w:rsidRDefault="00637996">
      <w:pPr>
        <w:spacing w:line="360" w:lineRule="auto"/>
        <w:ind w:left="360"/>
        <w:jc w:val="both"/>
        <w:rPr>
          <w:rFonts w:ascii="Rockwell" w:hAnsi="Rockwell"/>
          <w:b/>
          <w:bCs/>
          <w:sz w:val="30"/>
          <w:szCs w:val="30"/>
          <w:u w:val="single"/>
          <w:lang w:val="en-US"/>
        </w:rPr>
      </w:pPr>
      <w:r>
        <w:rPr>
          <w:rFonts w:ascii="Rockwell" w:hAnsi="Rockwell"/>
          <w:b/>
          <w:bCs/>
          <w:sz w:val="30"/>
          <w:szCs w:val="30"/>
          <w:u w:val="single"/>
          <w:lang w:val="en-US"/>
        </w:rPr>
        <w:t>Analysis and determination.</w:t>
      </w:r>
    </w:p>
    <w:p w:rsidR="006012C2" w:rsidRDefault="00637996">
      <w:pPr>
        <w:pStyle w:val="ListParagraph"/>
        <w:numPr>
          <w:ilvl w:val="0"/>
          <w:numId w:val="1"/>
        </w:numPr>
        <w:spacing w:before="240" w:after="0" w:line="360" w:lineRule="auto"/>
        <w:jc w:val="both"/>
        <w:rPr>
          <w:rFonts w:ascii="Rockwell" w:eastAsia="Calibri" w:hAnsi="Rockwell" w:cs="Times New Roman"/>
          <w:sz w:val="30"/>
          <w:szCs w:val="30"/>
          <w:lang w:val="en-US"/>
        </w:rPr>
      </w:pPr>
      <w:r>
        <w:rPr>
          <w:rFonts w:ascii="Rockwell" w:eastAsia="Calibri" w:hAnsi="Rockwell" w:cs="Times New Roman"/>
          <w:sz w:val="30"/>
          <w:szCs w:val="30"/>
          <w:lang w:val="en-US"/>
        </w:rPr>
        <w:t xml:space="preserve"> The issues for determination are;  </w:t>
      </w:r>
    </w:p>
    <w:p w:rsidR="006012C2" w:rsidRDefault="00637996">
      <w:pPr>
        <w:numPr>
          <w:ilvl w:val="2"/>
          <w:numId w:val="3"/>
        </w:numPr>
        <w:spacing w:before="240" w:after="0" w:line="276" w:lineRule="auto"/>
        <w:jc w:val="both"/>
        <w:rPr>
          <w:rFonts w:ascii="Rockwell" w:eastAsia="Calibri" w:hAnsi="Rockwell" w:cs="Times New Roman"/>
          <w:b/>
          <w:i/>
          <w:sz w:val="30"/>
          <w:szCs w:val="30"/>
          <w:lang w:val="en-US"/>
        </w:rPr>
      </w:pPr>
      <w:r>
        <w:rPr>
          <w:rFonts w:ascii="Rockwell" w:eastAsia="Calibri" w:hAnsi="Rockwell" w:cs="Times New Roman"/>
          <w:b/>
          <w:i/>
          <w:sz w:val="30"/>
          <w:szCs w:val="30"/>
          <w:lang w:val="en-US"/>
        </w:rPr>
        <w:t>Whether the Applicant should be granted leave to file the Memorandum o</w:t>
      </w:r>
      <w:r>
        <w:rPr>
          <w:rFonts w:ascii="Rockwell" w:eastAsia="Calibri" w:hAnsi="Rockwell" w:cs="Times New Roman"/>
          <w:b/>
          <w:i/>
          <w:sz w:val="30"/>
          <w:szCs w:val="30"/>
          <w:lang w:val="en-US"/>
        </w:rPr>
        <w:t>f Appeal out of time and whether the memorandum filed should be deemed as properly filed.</w:t>
      </w:r>
    </w:p>
    <w:p w:rsidR="006012C2" w:rsidRDefault="00637996">
      <w:pPr>
        <w:numPr>
          <w:ilvl w:val="2"/>
          <w:numId w:val="3"/>
        </w:numPr>
        <w:spacing w:before="240" w:after="0" w:line="276" w:lineRule="auto"/>
        <w:jc w:val="both"/>
        <w:rPr>
          <w:rFonts w:ascii="Rockwell" w:eastAsia="Calibri" w:hAnsi="Rockwell" w:cs="Times New Roman"/>
          <w:b/>
          <w:i/>
          <w:sz w:val="30"/>
          <w:szCs w:val="30"/>
          <w:lang w:val="en-US"/>
        </w:rPr>
      </w:pPr>
      <w:r>
        <w:rPr>
          <w:rFonts w:ascii="Rockwell" w:eastAsia="Calibri" w:hAnsi="Rockwell" w:cs="Times New Roman"/>
          <w:b/>
          <w:i/>
          <w:sz w:val="30"/>
          <w:szCs w:val="30"/>
          <w:lang w:val="en-US"/>
        </w:rPr>
        <w:t xml:space="preserve"> Whether stay of execution of the Judgment/Decree should be granted.</w:t>
      </w:r>
    </w:p>
    <w:p w:rsidR="006012C2" w:rsidRDefault="00637996">
      <w:pPr>
        <w:pStyle w:val="ListParagraph"/>
        <w:numPr>
          <w:ilvl w:val="0"/>
          <w:numId w:val="1"/>
        </w:numPr>
        <w:spacing w:before="240" w:after="0" w:line="360" w:lineRule="auto"/>
        <w:jc w:val="both"/>
        <w:rPr>
          <w:rFonts w:ascii="Rockwell" w:eastAsia="Calibri" w:hAnsi="Rockwell" w:cs="Times New Roman"/>
          <w:sz w:val="30"/>
          <w:szCs w:val="30"/>
          <w:lang w:val="en-US"/>
        </w:rPr>
      </w:pPr>
      <w:r>
        <w:rPr>
          <w:rFonts w:ascii="Rockwell" w:eastAsia="Calibri" w:hAnsi="Rockwell" w:cs="Times New Roman"/>
          <w:sz w:val="30"/>
          <w:szCs w:val="30"/>
          <w:lang w:val="en-US"/>
        </w:rPr>
        <w:t>Leave to file an appeal out of time is governed by S</w:t>
      </w:r>
      <w:r>
        <w:rPr>
          <w:rFonts w:ascii="Rockwell" w:eastAsia="Calibri" w:hAnsi="Rockwell" w:cs="Times New Roman"/>
          <w:b/>
          <w:sz w:val="30"/>
          <w:szCs w:val="30"/>
          <w:lang w:val="en-US"/>
        </w:rPr>
        <w:t xml:space="preserve">ection 79G of the Civil Procedure Act </w:t>
      </w:r>
      <w:r>
        <w:rPr>
          <w:rFonts w:ascii="Rockwell" w:eastAsia="Calibri" w:hAnsi="Rockwell" w:cs="Times New Roman"/>
          <w:sz w:val="30"/>
          <w:szCs w:val="30"/>
          <w:lang w:val="en-US"/>
        </w:rPr>
        <w:t>which</w:t>
      </w:r>
      <w:r>
        <w:rPr>
          <w:rFonts w:ascii="Rockwell" w:eastAsia="Calibri" w:hAnsi="Rockwell" w:cs="Times New Roman"/>
          <w:b/>
          <w:sz w:val="30"/>
          <w:szCs w:val="30"/>
          <w:lang w:val="en-US"/>
        </w:rPr>
        <w:t xml:space="preserve"> </w:t>
      </w:r>
      <w:r>
        <w:rPr>
          <w:rFonts w:ascii="Rockwell" w:eastAsia="Calibri" w:hAnsi="Rockwell" w:cs="Times New Roman"/>
          <w:sz w:val="30"/>
          <w:szCs w:val="30"/>
          <w:lang w:val="en-US"/>
        </w:rPr>
        <w:t>states:</w:t>
      </w:r>
    </w:p>
    <w:p w:rsidR="006012C2" w:rsidRDefault="00637996">
      <w:pPr>
        <w:spacing w:line="276" w:lineRule="auto"/>
        <w:ind w:left="1440"/>
        <w:jc w:val="both"/>
        <w:rPr>
          <w:rFonts w:ascii="Rockwell" w:eastAsia="Calibri" w:hAnsi="Rockwell" w:cs="Times New Roman"/>
          <w:b/>
          <w:i/>
          <w:sz w:val="30"/>
          <w:szCs w:val="30"/>
          <w:lang w:val="en-US"/>
        </w:rPr>
      </w:pPr>
      <w:r>
        <w:rPr>
          <w:rFonts w:ascii="Rockwell" w:eastAsia="Calibri" w:hAnsi="Rockwell" w:cs="Times New Roman"/>
          <w:b/>
          <w:i/>
          <w:sz w:val="30"/>
          <w:szCs w:val="30"/>
          <w:lang w:val="en-US"/>
        </w:rPr>
        <w:t>“Every appeal from a subordinate court to the High Court shall be filed within a period of thirty days from the date of the decree or order appealed against, excluding from such period any time which the lower court may certify as having been requi</w:t>
      </w:r>
      <w:r>
        <w:rPr>
          <w:rFonts w:ascii="Rockwell" w:eastAsia="Calibri" w:hAnsi="Rockwell" w:cs="Times New Roman"/>
          <w:b/>
          <w:i/>
          <w:sz w:val="30"/>
          <w:szCs w:val="30"/>
          <w:lang w:val="en-US"/>
        </w:rPr>
        <w:t>site for the preparation and delivery of a copy of the decree or order:</w:t>
      </w:r>
    </w:p>
    <w:p w:rsidR="006012C2" w:rsidRDefault="00637996">
      <w:pPr>
        <w:spacing w:line="276" w:lineRule="auto"/>
        <w:ind w:left="1440"/>
        <w:jc w:val="both"/>
        <w:rPr>
          <w:rFonts w:ascii="Rockwell" w:eastAsia="Calibri" w:hAnsi="Rockwell" w:cs="Times New Roman"/>
          <w:b/>
          <w:i/>
          <w:sz w:val="30"/>
          <w:szCs w:val="30"/>
          <w:lang w:val="en-US"/>
        </w:rPr>
      </w:pPr>
      <w:r>
        <w:rPr>
          <w:rFonts w:ascii="Rockwell" w:eastAsia="Calibri" w:hAnsi="Rockwell" w:cs="Times New Roman"/>
          <w:b/>
          <w:i/>
          <w:sz w:val="30"/>
          <w:szCs w:val="30"/>
          <w:lang w:val="en-US"/>
        </w:rPr>
        <w:t>Provided that an appeal may be admitted out of time if the appellant satisfies the court that he had good and sufficient cause for not filing the appeal in time</w:t>
      </w:r>
      <w:r>
        <w:rPr>
          <w:rFonts w:ascii="Rockwell" w:eastAsia="Calibri" w:hAnsi="Rockwell" w:cs="Times New Roman"/>
          <w:sz w:val="30"/>
          <w:szCs w:val="30"/>
          <w:lang w:val="en-US"/>
        </w:rPr>
        <w:t>.”</w:t>
      </w:r>
    </w:p>
    <w:p w:rsidR="006012C2" w:rsidRDefault="00637996">
      <w:pPr>
        <w:numPr>
          <w:ilvl w:val="0"/>
          <w:numId w:val="1"/>
        </w:numPr>
        <w:spacing w:before="240" w:after="0" w:line="360" w:lineRule="auto"/>
        <w:ind w:left="0"/>
        <w:jc w:val="both"/>
        <w:rPr>
          <w:rFonts w:ascii="Rockwell" w:eastAsia="Calibri" w:hAnsi="Rockwell" w:cs="Times New Roman"/>
          <w:sz w:val="30"/>
          <w:szCs w:val="30"/>
          <w:lang w:val="en-US"/>
        </w:rPr>
      </w:pPr>
      <w:r>
        <w:rPr>
          <w:rFonts w:ascii="Rockwell" w:eastAsia="Calibri" w:hAnsi="Rockwell" w:cs="Times New Roman"/>
          <w:sz w:val="30"/>
          <w:szCs w:val="30"/>
          <w:lang w:val="en-US"/>
        </w:rPr>
        <w:t xml:space="preserve">This court is also guided by the conditions set out by the Supreme Court in the case of </w:t>
      </w:r>
      <w:r>
        <w:rPr>
          <w:rFonts w:ascii="Rockwell" w:eastAsia="Calibri" w:hAnsi="Rockwell" w:cs="Times New Roman"/>
          <w:b/>
          <w:sz w:val="30"/>
          <w:szCs w:val="30"/>
          <w:lang w:val="en-US"/>
        </w:rPr>
        <w:t>Nicholas Kiptoo Korir Arap Salat vs IEBC and 7 Others, SC Application NO 16 of 2014[ 2014] eKLR</w:t>
      </w:r>
      <w:r>
        <w:rPr>
          <w:rFonts w:ascii="Rockwell" w:eastAsia="Calibri" w:hAnsi="Rockwell" w:cs="Times New Roman"/>
          <w:sz w:val="30"/>
          <w:szCs w:val="30"/>
          <w:lang w:val="en-US"/>
        </w:rPr>
        <w:t xml:space="preserve"> </w:t>
      </w:r>
      <w:r>
        <w:rPr>
          <w:rFonts w:ascii="Rockwell" w:eastAsia="Calibri" w:hAnsi="Rockwell" w:cs="Times New Roman"/>
          <w:b/>
          <w:sz w:val="30"/>
          <w:szCs w:val="30"/>
          <w:lang w:val="en-GB"/>
        </w:rPr>
        <w:t>where it was stated</w:t>
      </w:r>
      <w:r>
        <w:rPr>
          <w:rFonts w:ascii="Rockwell" w:eastAsia="Calibri" w:hAnsi="Rockwell" w:cs="Times New Roman"/>
          <w:sz w:val="30"/>
          <w:szCs w:val="30"/>
          <w:lang w:val="en-US"/>
        </w:rPr>
        <w:t>;</w:t>
      </w:r>
    </w:p>
    <w:p w:rsidR="006012C2" w:rsidRDefault="00637996">
      <w:pPr>
        <w:spacing w:line="276" w:lineRule="auto"/>
        <w:ind w:left="1440"/>
        <w:contextualSpacing/>
        <w:jc w:val="both"/>
        <w:rPr>
          <w:rFonts w:ascii="Rockwell" w:eastAsia="Calibri" w:hAnsi="Rockwell" w:cs="Times New Roman"/>
          <w:b/>
          <w:i/>
          <w:sz w:val="30"/>
          <w:szCs w:val="30"/>
          <w:lang w:val="en-GB"/>
        </w:rPr>
      </w:pPr>
      <w:r>
        <w:rPr>
          <w:rFonts w:ascii="Rockwell" w:eastAsia="Calibri" w:hAnsi="Rockwell" w:cs="Times New Roman"/>
          <w:b/>
          <w:i/>
          <w:sz w:val="30"/>
          <w:szCs w:val="30"/>
          <w:lang w:val="en-GB"/>
        </w:rPr>
        <w:t xml:space="preserve">“The underlying principles a court should consider </w:t>
      </w:r>
      <w:r>
        <w:rPr>
          <w:rFonts w:ascii="Rockwell" w:eastAsia="Calibri" w:hAnsi="Rockwell" w:cs="Times New Roman"/>
          <w:b/>
          <w:i/>
          <w:sz w:val="30"/>
          <w:szCs w:val="30"/>
          <w:lang w:val="en-GB"/>
        </w:rPr>
        <w:t>in exercise of such discretion should include:-</w:t>
      </w:r>
    </w:p>
    <w:p w:rsidR="006012C2" w:rsidRDefault="00637996">
      <w:pPr>
        <w:numPr>
          <w:ilvl w:val="0"/>
          <w:numId w:val="4"/>
        </w:numPr>
        <w:spacing w:line="276" w:lineRule="auto"/>
        <w:contextualSpacing/>
        <w:jc w:val="both"/>
        <w:rPr>
          <w:rFonts w:ascii="Rockwell" w:eastAsia="Calibri" w:hAnsi="Rockwell" w:cs="Times New Roman"/>
          <w:b/>
          <w:i/>
          <w:sz w:val="30"/>
          <w:szCs w:val="30"/>
          <w:lang w:val="en-GB"/>
        </w:rPr>
      </w:pPr>
      <w:r>
        <w:rPr>
          <w:rFonts w:ascii="Rockwell" w:eastAsia="Calibri" w:hAnsi="Rockwell" w:cs="Times New Roman"/>
          <w:b/>
          <w:i/>
          <w:sz w:val="30"/>
          <w:szCs w:val="30"/>
          <w:lang w:val="en-GB"/>
        </w:rPr>
        <w:lastRenderedPageBreak/>
        <w:t>Extension of time is not a right of any party. It is an equitable remedy that is only available to a deserving party at the discretion of the court;</w:t>
      </w:r>
    </w:p>
    <w:p w:rsidR="006012C2" w:rsidRDefault="00637996">
      <w:pPr>
        <w:numPr>
          <w:ilvl w:val="0"/>
          <w:numId w:val="4"/>
        </w:numPr>
        <w:spacing w:line="276" w:lineRule="auto"/>
        <w:contextualSpacing/>
        <w:jc w:val="both"/>
        <w:rPr>
          <w:rFonts w:ascii="Rockwell" w:eastAsia="Calibri" w:hAnsi="Rockwell" w:cs="Times New Roman"/>
          <w:b/>
          <w:i/>
          <w:sz w:val="30"/>
          <w:szCs w:val="30"/>
          <w:lang w:val="en-GB"/>
        </w:rPr>
      </w:pPr>
      <w:r>
        <w:rPr>
          <w:rFonts w:ascii="Rockwell" w:eastAsia="Calibri" w:hAnsi="Rockwell" w:cs="Times New Roman"/>
          <w:b/>
          <w:i/>
          <w:sz w:val="30"/>
          <w:szCs w:val="30"/>
          <w:lang w:val="en-GB"/>
        </w:rPr>
        <w:t>A party who seeks for extension of time has the burden of l</w:t>
      </w:r>
      <w:r>
        <w:rPr>
          <w:rFonts w:ascii="Rockwell" w:eastAsia="Calibri" w:hAnsi="Rockwell" w:cs="Times New Roman"/>
          <w:b/>
          <w:i/>
          <w:sz w:val="30"/>
          <w:szCs w:val="30"/>
          <w:lang w:val="en-GB"/>
        </w:rPr>
        <w:t>aying a basis to the satisfaction of the court;</w:t>
      </w:r>
    </w:p>
    <w:p w:rsidR="006012C2" w:rsidRDefault="00637996">
      <w:pPr>
        <w:numPr>
          <w:ilvl w:val="0"/>
          <w:numId w:val="4"/>
        </w:numPr>
        <w:spacing w:line="276" w:lineRule="auto"/>
        <w:contextualSpacing/>
        <w:jc w:val="both"/>
        <w:rPr>
          <w:rFonts w:ascii="Rockwell" w:eastAsia="Calibri" w:hAnsi="Rockwell" w:cs="Times New Roman"/>
          <w:b/>
          <w:i/>
          <w:sz w:val="30"/>
          <w:szCs w:val="30"/>
          <w:lang w:val="en-GB"/>
        </w:rPr>
      </w:pPr>
      <w:r>
        <w:rPr>
          <w:rFonts w:ascii="Rockwell" w:eastAsia="Calibri" w:hAnsi="Rockwell" w:cs="Times New Roman"/>
          <w:b/>
          <w:i/>
          <w:sz w:val="30"/>
          <w:szCs w:val="30"/>
          <w:lang w:val="en-GB"/>
        </w:rPr>
        <w:t>Whether the court should exercise the discretion to extend time, is a consideration to be made on a case by case basis;</w:t>
      </w:r>
    </w:p>
    <w:p w:rsidR="006012C2" w:rsidRDefault="00637996">
      <w:pPr>
        <w:numPr>
          <w:ilvl w:val="0"/>
          <w:numId w:val="4"/>
        </w:numPr>
        <w:spacing w:line="276" w:lineRule="auto"/>
        <w:contextualSpacing/>
        <w:jc w:val="both"/>
        <w:rPr>
          <w:rFonts w:ascii="Rockwell" w:eastAsia="Calibri" w:hAnsi="Rockwell" w:cs="Times New Roman"/>
          <w:b/>
          <w:i/>
          <w:sz w:val="30"/>
          <w:szCs w:val="30"/>
          <w:lang w:val="en-GB"/>
        </w:rPr>
      </w:pPr>
      <w:r>
        <w:rPr>
          <w:rFonts w:ascii="Rockwell" w:eastAsia="Calibri" w:hAnsi="Rockwell" w:cs="Times New Roman"/>
          <w:b/>
          <w:i/>
          <w:sz w:val="30"/>
          <w:szCs w:val="30"/>
          <w:lang w:val="en-GB"/>
        </w:rPr>
        <w:t>Whether there is a reasonable reason for the delay. The delay should be explained to the</w:t>
      </w:r>
      <w:r>
        <w:rPr>
          <w:rFonts w:ascii="Rockwell" w:eastAsia="Calibri" w:hAnsi="Rockwell" w:cs="Times New Roman"/>
          <w:b/>
          <w:i/>
          <w:sz w:val="30"/>
          <w:szCs w:val="30"/>
          <w:lang w:val="en-GB"/>
        </w:rPr>
        <w:t xml:space="preserve"> satisfaction of the court;</w:t>
      </w:r>
    </w:p>
    <w:p w:rsidR="006012C2" w:rsidRDefault="00637996">
      <w:pPr>
        <w:numPr>
          <w:ilvl w:val="0"/>
          <w:numId w:val="4"/>
        </w:numPr>
        <w:spacing w:line="276" w:lineRule="auto"/>
        <w:contextualSpacing/>
        <w:jc w:val="both"/>
        <w:rPr>
          <w:rFonts w:ascii="Rockwell" w:eastAsia="Calibri" w:hAnsi="Rockwell" w:cs="Times New Roman"/>
          <w:b/>
          <w:i/>
          <w:sz w:val="30"/>
          <w:szCs w:val="30"/>
          <w:lang w:val="en-GB"/>
        </w:rPr>
      </w:pPr>
      <w:r>
        <w:rPr>
          <w:rFonts w:ascii="Rockwell" w:eastAsia="Calibri" w:hAnsi="Rockwell" w:cs="Times New Roman"/>
          <w:b/>
          <w:i/>
          <w:sz w:val="30"/>
          <w:szCs w:val="30"/>
          <w:lang w:val="en-GB"/>
        </w:rPr>
        <w:t>Whether there will be any prejudice suffered by the respondent if the extension is granted;</w:t>
      </w:r>
    </w:p>
    <w:p w:rsidR="006012C2" w:rsidRDefault="00637996">
      <w:pPr>
        <w:numPr>
          <w:ilvl w:val="0"/>
          <w:numId w:val="4"/>
        </w:numPr>
        <w:spacing w:line="276" w:lineRule="auto"/>
        <w:contextualSpacing/>
        <w:jc w:val="both"/>
        <w:rPr>
          <w:rFonts w:ascii="Rockwell" w:eastAsia="Calibri" w:hAnsi="Rockwell" w:cs="Times New Roman"/>
          <w:b/>
          <w:i/>
          <w:sz w:val="30"/>
          <w:szCs w:val="30"/>
          <w:lang w:val="en-GB"/>
        </w:rPr>
      </w:pPr>
      <w:r>
        <w:rPr>
          <w:rFonts w:ascii="Rockwell" w:eastAsia="Calibri" w:hAnsi="Rockwell" w:cs="Times New Roman"/>
          <w:b/>
          <w:i/>
          <w:sz w:val="30"/>
          <w:szCs w:val="30"/>
          <w:lang w:val="en-GB"/>
        </w:rPr>
        <w:t>Whether the application has been brought without undue delay.”</w:t>
      </w:r>
    </w:p>
    <w:p w:rsidR="006012C2" w:rsidRDefault="006012C2">
      <w:pPr>
        <w:spacing w:line="276" w:lineRule="auto"/>
        <w:ind w:left="2160"/>
        <w:contextualSpacing/>
        <w:jc w:val="both"/>
        <w:rPr>
          <w:rFonts w:ascii="Rockwell" w:eastAsia="Calibri" w:hAnsi="Rockwell" w:cs="Times New Roman"/>
          <w:b/>
          <w:i/>
          <w:sz w:val="30"/>
          <w:szCs w:val="30"/>
          <w:lang w:val="en-GB"/>
        </w:rPr>
      </w:pPr>
    </w:p>
    <w:p w:rsidR="006012C2" w:rsidRDefault="00637996">
      <w:pPr>
        <w:numPr>
          <w:ilvl w:val="0"/>
          <w:numId w:val="1"/>
        </w:numPr>
        <w:spacing w:before="240" w:after="0" w:line="360" w:lineRule="auto"/>
        <w:ind w:left="0"/>
        <w:jc w:val="both"/>
        <w:rPr>
          <w:rFonts w:ascii="Rockwell" w:eastAsia="Calibri" w:hAnsi="Rockwell" w:cs="Times New Roman"/>
          <w:sz w:val="30"/>
          <w:szCs w:val="30"/>
          <w:lang w:val="en-US"/>
        </w:rPr>
      </w:pPr>
      <w:r>
        <w:rPr>
          <w:rFonts w:ascii="Rockwell" w:eastAsia="Calibri" w:hAnsi="Rockwell" w:cs="Times New Roman"/>
          <w:sz w:val="30"/>
          <w:szCs w:val="30"/>
          <w:lang w:val="en-US"/>
        </w:rPr>
        <w:t xml:space="preserve"> In this case, judgment was delivered on 28</w:t>
      </w:r>
      <w:r>
        <w:rPr>
          <w:rFonts w:ascii="Rockwell" w:eastAsia="Calibri" w:hAnsi="Rockwell" w:cs="Times New Roman"/>
          <w:sz w:val="30"/>
          <w:szCs w:val="30"/>
          <w:vertAlign w:val="superscript"/>
          <w:lang w:val="en-US"/>
        </w:rPr>
        <w:t>th</w:t>
      </w:r>
      <w:r>
        <w:rPr>
          <w:rFonts w:ascii="Rockwell" w:eastAsia="Calibri" w:hAnsi="Rockwell" w:cs="Times New Roman"/>
          <w:sz w:val="30"/>
          <w:szCs w:val="30"/>
          <w:lang w:val="en-US"/>
        </w:rPr>
        <w:t xml:space="preserve"> March 2025 and the current application is dated on 8</w:t>
      </w:r>
      <w:r>
        <w:rPr>
          <w:rFonts w:ascii="Rockwell" w:eastAsia="Calibri" w:hAnsi="Rockwell" w:cs="Times New Roman"/>
          <w:sz w:val="30"/>
          <w:szCs w:val="30"/>
          <w:vertAlign w:val="superscript"/>
          <w:lang w:val="en-US"/>
        </w:rPr>
        <w:t xml:space="preserve">th </w:t>
      </w:r>
      <w:r>
        <w:rPr>
          <w:rFonts w:ascii="Rockwell" w:eastAsia="Calibri" w:hAnsi="Rockwell" w:cs="Times New Roman"/>
          <w:sz w:val="30"/>
          <w:szCs w:val="30"/>
          <w:lang w:val="en-US"/>
        </w:rPr>
        <w:t>May 2025, which is about 40 days from the date the judgment was delivered.  Given that an appeal should be filed within thirty days there was a delay of only ten days which in my considered view is no</w:t>
      </w:r>
      <w:r>
        <w:rPr>
          <w:rFonts w:ascii="Rockwell" w:eastAsia="Calibri" w:hAnsi="Rockwell" w:cs="Times New Roman"/>
          <w:sz w:val="30"/>
          <w:szCs w:val="30"/>
          <w:lang w:val="en-US"/>
        </w:rPr>
        <w:t>t inordinate. Leave to extend the period for filing the appeal is therefore granted.</w:t>
      </w:r>
    </w:p>
    <w:p w:rsidR="006012C2" w:rsidRDefault="00637996">
      <w:pPr>
        <w:numPr>
          <w:ilvl w:val="0"/>
          <w:numId w:val="1"/>
        </w:numPr>
        <w:spacing w:before="240" w:after="100" w:afterAutospacing="1" w:line="360" w:lineRule="auto"/>
        <w:ind w:left="0"/>
        <w:jc w:val="both"/>
        <w:rPr>
          <w:rFonts w:ascii="Rockwell" w:eastAsia="Calibri" w:hAnsi="Rockwell" w:cs="Times New Roman"/>
          <w:b/>
          <w:i/>
          <w:sz w:val="30"/>
          <w:szCs w:val="30"/>
          <w:lang w:val="en-US"/>
        </w:rPr>
      </w:pPr>
      <w:r>
        <w:rPr>
          <w:rFonts w:ascii="Rockwell" w:eastAsia="Calibri" w:hAnsi="Rockwell" w:cs="Times New Roman"/>
          <w:sz w:val="30"/>
          <w:szCs w:val="30"/>
          <w:lang w:val="en-US"/>
        </w:rPr>
        <w:t>On the prayer for stay of execution, such a stay can only issue where there is an appeal as the order is granted pending hearing and determination of the appeal. In this c</w:t>
      </w:r>
      <w:r>
        <w:rPr>
          <w:rFonts w:ascii="Rockwell" w:eastAsia="Calibri" w:hAnsi="Rockwell" w:cs="Times New Roman"/>
          <w:sz w:val="30"/>
          <w:szCs w:val="30"/>
          <w:lang w:val="en-US"/>
        </w:rPr>
        <w:t xml:space="preserve">ase there is no appeal as yet as it is trite, that an appeal filed out of time without leave is irregular- </w:t>
      </w:r>
      <w:r>
        <w:rPr>
          <w:rFonts w:ascii="Rockwell" w:eastAsia="Calibri" w:hAnsi="Rockwell" w:cs="Times New Roman"/>
          <w:b/>
          <w:bCs/>
          <w:sz w:val="30"/>
          <w:szCs w:val="30"/>
          <w:lang w:val="en-US"/>
        </w:rPr>
        <w:t xml:space="preserve">see the case of County Executive of Kisumu v County Government of Kisumu&amp; 8 others, SC Civil Appeal NO 3 0F 2016; </w:t>
      </w:r>
      <w:r>
        <w:rPr>
          <w:rFonts w:ascii="Rockwell" w:eastAsia="Calibri" w:hAnsi="Rockwell" w:cs="Times New Roman"/>
          <w:b/>
          <w:bCs/>
          <w:sz w:val="30"/>
          <w:szCs w:val="30"/>
          <w:lang w:val="en-US"/>
        </w:rPr>
        <w:lastRenderedPageBreak/>
        <w:t>[2017] eKLR</w:t>
      </w:r>
      <w:r>
        <w:rPr>
          <w:rFonts w:ascii="Rockwell" w:eastAsia="Calibri" w:hAnsi="Rockwell" w:cs="Times New Roman"/>
          <w:sz w:val="30"/>
          <w:szCs w:val="30"/>
          <w:lang w:val="en-US"/>
        </w:rPr>
        <w:t xml:space="preserve"> and hence the memo of a</w:t>
      </w:r>
      <w:r>
        <w:rPr>
          <w:rFonts w:ascii="Rockwell" w:eastAsia="Calibri" w:hAnsi="Rockwell" w:cs="Times New Roman"/>
          <w:sz w:val="30"/>
          <w:szCs w:val="30"/>
          <w:lang w:val="en-US"/>
        </w:rPr>
        <w:t>ppeal herein is for striking out as it was filed before leave was granted. Consequently, as there is no appeal, a stay of execution cannot issue and that limb of the application is accordingly dismissed.</w:t>
      </w:r>
    </w:p>
    <w:p w:rsidR="006012C2" w:rsidRDefault="00637996">
      <w:pPr>
        <w:numPr>
          <w:ilvl w:val="0"/>
          <w:numId w:val="1"/>
        </w:numPr>
        <w:spacing w:before="240" w:after="100" w:afterAutospacing="1" w:line="360" w:lineRule="auto"/>
        <w:ind w:left="0"/>
        <w:jc w:val="both"/>
        <w:rPr>
          <w:rFonts w:ascii="Rockwell" w:eastAsia="Calibri" w:hAnsi="Rockwell" w:cs="Times New Roman"/>
          <w:b/>
          <w:i/>
          <w:sz w:val="30"/>
          <w:szCs w:val="30"/>
          <w:lang w:val="en-US"/>
        </w:rPr>
      </w:pPr>
      <w:r>
        <w:rPr>
          <w:rFonts w:ascii="Rockwell" w:hAnsi="Rockwell"/>
          <w:sz w:val="30"/>
          <w:szCs w:val="30"/>
          <w:lang w:val="en-US"/>
        </w:rPr>
        <w:t>This application therefore succeeds only to the exte</w:t>
      </w:r>
      <w:r>
        <w:rPr>
          <w:rFonts w:ascii="Rockwell" w:hAnsi="Rockwell"/>
          <w:sz w:val="30"/>
          <w:szCs w:val="30"/>
          <w:lang w:val="en-US"/>
        </w:rPr>
        <w:t>nt that leave to file an appeal out of time is granted. The appeal shall be filed within thirty days of this ruling failing which the leave shall lapse.</w:t>
      </w:r>
    </w:p>
    <w:p w:rsidR="006012C2" w:rsidRDefault="00637996">
      <w:pPr>
        <w:numPr>
          <w:ilvl w:val="0"/>
          <w:numId w:val="1"/>
        </w:numPr>
        <w:spacing w:before="240" w:after="100" w:afterAutospacing="1" w:line="360" w:lineRule="auto"/>
        <w:ind w:left="0"/>
        <w:jc w:val="both"/>
        <w:rPr>
          <w:rFonts w:ascii="Rockwell" w:eastAsia="Calibri" w:hAnsi="Rockwell" w:cs="Times New Roman"/>
          <w:b/>
          <w:i/>
          <w:sz w:val="30"/>
          <w:szCs w:val="30"/>
          <w:lang w:val="en-US"/>
        </w:rPr>
      </w:pPr>
      <w:r>
        <w:rPr>
          <w:rFonts w:ascii="Rockwell" w:hAnsi="Rockwell"/>
          <w:sz w:val="30"/>
          <w:szCs w:val="30"/>
          <w:lang w:val="en-US"/>
        </w:rPr>
        <w:t>The applicant shall bear the costs of the application.</w:t>
      </w:r>
    </w:p>
    <w:p w:rsidR="006012C2" w:rsidRDefault="00637996">
      <w:pPr>
        <w:spacing w:line="360" w:lineRule="auto"/>
        <w:jc w:val="both"/>
        <w:rPr>
          <w:rFonts w:ascii="Rockwell" w:hAnsi="Rockwell"/>
          <w:sz w:val="30"/>
          <w:szCs w:val="30"/>
          <w:lang w:val="en-US"/>
        </w:rPr>
      </w:pPr>
      <w:r>
        <w:rPr>
          <w:rFonts w:ascii="Rockwell" w:hAnsi="Rockwell"/>
          <w:sz w:val="30"/>
          <w:szCs w:val="30"/>
          <w:lang w:val="en-US"/>
        </w:rPr>
        <w:t>Orders accordingly.</w:t>
      </w:r>
    </w:p>
    <w:p w:rsidR="006012C2" w:rsidRDefault="00637996">
      <w:pPr>
        <w:spacing w:line="360" w:lineRule="auto"/>
        <w:jc w:val="both"/>
        <w:rPr>
          <w:rFonts w:ascii="Rockwell" w:hAnsi="Rockwell"/>
          <w:b/>
          <w:sz w:val="30"/>
          <w:szCs w:val="30"/>
          <w:lang w:val="en-US"/>
        </w:rPr>
      </w:pPr>
      <w:r>
        <w:rPr>
          <w:rFonts w:ascii="Rockwell" w:hAnsi="Rockwell"/>
          <w:b/>
          <w:sz w:val="30"/>
          <w:szCs w:val="30"/>
          <w:lang w:val="en-US"/>
        </w:rPr>
        <w:t>Ruling signed, dated and del</w:t>
      </w:r>
      <w:r>
        <w:rPr>
          <w:rFonts w:ascii="Rockwell" w:hAnsi="Rockwell"/>
          <w:b/>
          <w:sz w:val="30"/>
          <w:szCs w:val="30"/>
          <w:lang w:val="en-US"/>
        </w:rPr>
        <w:t>ivered virtually on this 27</w:t>
      </w:r>
      <w:r>
        <w:rPr>
          <w:rFonts w:ascii="Rockwell" w:hAnsi="Rockwell"/>
          <w:b/>
          <w:sz w:val="30"/>
          <w:szCs w:val="30"/>
          <w:vertAlign w:val="superscript"/>
          <w:lang w:val="en-US"/>
        </w:rPr>
        <w:t>th</w:t>
      </w:r>
      <w:r>
        <w:rPr>
          <w:rFonts w:ascii="Rockwell" w:hAnsi="Rockwell"/>
          <w:b/>
          <w:sz w:val="30"/>
          <w:szCs w:val="30"/>
          <w:lang w:val="en-US"/>
        </w:rPr>
        <w:t xml:space="preserve"> day of November 2025.</w:t>
      </w:r>
    </w:p>
    <w:p w:rsidR="006012C2" w:rsidRDefault="00637996">
      <w:pPr>
        <w:spacing w:line="360" w:lineRule="auto"/>
        <w:ind w:left="360"/>
        <w:jc w:val="center"/>
        <w:rPr>
          <w:rFonts w:ascii="Rockwell" w:hAnsi="Rockwell"/>
          <w:b/>
          <w:sz w:val="30"/>
          <w:szCs w:val="30"/>
          <w:lang w:val="en-US"/>
        </w:rPr>
      </w:pPr>
      <w:r>
        <w:rPr>
          <w:rFonts w:ascii="Rockwell" w:hAnsi="Rockwell"/>
          <w:b/>
          <w:sz w:val="30"/>
          <w:szCs w:val="30"/>
          <w:lang w:val="en-US"/>
        </w:rPr>
        <w:t>E. N. MAINA</w:t>
      </w:r>
    </w:p>
    <w:p w:rsidR="006012C2" w:rsidRDefault="00637996">
      <w:pPr>
        <w:spacing w:line="360" w:lineRule="auto"/>
        <w:ind w:left="360"/>
        <w:jc w:val="center"/>
        <w:rPr>
          <w:rFonts w:ascii="Rockwell" w:hAnsi="Rockwell"/>
          <w:b/>
          <w:sz w:val="30"/>
          <w:szCs w:val="30"/>
          <w:lang w:val="en-US"/>
        </w:rPr>
      </w:pPr>
      <w:r>
        <w:rPr>
          <w:rFonts w:ascii="Rockwell" w:hAnsi="Rockwell"/>
          <w:b/>
          <w:sz w:val="30"/>
          <w:szCs w:val="30"/>
          <w:lang w:val="en-US"/>
        </w:rPr>
        <w:t>JUDGE</w:t>
      </w:r>
    </w:p>
    <w:p w:rsidR="006012C2" w:rsidRDefault="006012C2">
      <w:pPr>
        <w:spacing w:line="360" w:lineRule="auto"/>
        <w:jc w:val="both"/>
        <w:rPr>
          <w:rFonts w:ascii="Rockwell" w:hAnsi="Rockwell"/>
          <w:b/>
          <w:sz w:val="30"/>
          <w:szCs w:val="30"/>
          <w:u w:val="single"/>
          <w:lang w:val="en-US"/>
        </w:rPr>
      </w:pPr>
    </w:p>
    <w:p w:rsidR="006012C2" w:rsidRDefault="00637996">
      <w:pPr>
        <w:spacing w:line="276" w:lineRule="auto"/>
        <w:jc w:val="both"/>
        <w:rPr>
          <w:rFonts w:ascii="Rockwell" w:hAnsi="Rockwell"/>
          <w:b/>
          <w:sz w:val="30"/>
          <w:szCs w:val="30"/>
          <w:u w:val="single"/>
          <w:lang w:val="en-US"/>
        </w:rPr>
      </w:pPr>
      <w:r>
        <w:rPr>
          <w:rFonts w:ascii="Rockwell" w:hAnsi="Rockwell"/>
          <w:b/>
          <w:sz w:val="30"/>
          <w:szCs w:val="30"/>
          <w:u w:val="single"/>
          <w:lang w:val="en-US"/>
        </w:rPr>
        <w:t>IN PRESENCE OF:</w:t>
      </w:r>
    </w:p>
    <w:p w:rsidR="006012C2" w:rsidRDefault="00637996">
      <w:pPr>
        <w:spacing w:line="276" w:lineRule="auto"/>
        <w:jc w:val="both"/>
        <w:rPr>
          <w:rFonts w:ascii="Rockwell" w:hAnsi="Rockwell"/>
          <w:sz w:val="30"/>
          <w:szCs w:val="30"/>
          <w:lang w:val="en-US"/>
        </w:rPr>
      </w:pPr>
      <w:r>
        <w:rPr>
          <w:rFonts w:ascii="Rockwell" w:hAnsi="Rockwell"/>
          <w:sz w:val="30"/>
          <w:szCs w:val="30"/>
          <w:lang w:val="en-US"/>
        </w:rPr>
        <w:t>Ms Odero for the Applicant.</w:t>
      </w:r>
    </w:p>
    <w:p w:rsidR="006012C2" w:rsidRDefault="00637996">
      <w:pPr>
        <w:spacing w:line="276" w:lineRule="auto"/>
        <w:jc w:val="both"/>
        <w:rPr>
          <w:rFonts w:ascii="Rockwell" w:hAnsi="Rockwell"/>
          <w:sz w:val="30"/>
          <w:szCs w:val="30"/>
          <w:lang w:val="en-US"/>
        </w:rPr>
      </w:pPr>
      <w:r>
        <w:rPr>
          <w:rFonts w:ascii="Rockwell" w:hAnsi="Rockwell"/>
          <w:sz w:val="30"/>
          <w:szCs w:val="30"/>
          <w:lang w:val="en-US"/>
        </w:rPr>
        <w:t>Ms Mwangangi for the Respondent.</w:t>
      </w:r>
    </w:p>
    <w:p w:rsidR="006012C2" w:rsidRDefault="00637996">
      <w:pPr>
        <w:spacing w:line="276" w:lineRule="auto"/>
        <w:jc w:val="both"/>
        <w:rPr>
          <w:rFonts w:ascii="Rockwell" w:hAnsi="Rockwell"/>
          <w:sz w:val="30"/>
          <w:szCs w:val="30"/>
          <w:lang w:val="en-US"/>
        </w:rPr>
      </w:pPr>
      <w:r>
        <w:rPr>
          <w:rFonts w:ascii="Rockwell" w:hAnsi="Rockwell"/>
          <w:sz w:val="30"/>
          <w:szCs w:val="30"/>
          <w:lang w:val="en-US"/>
        </w:rPr>
        <w:t>Geoffrey Court Assistant.</w:t>
      </w:r>
    </w:p>
    <w:sectPr w:rsidR="006012C2">
      <w:headerReference w:type="even" r:id="rId9"/>
      <w:headerReference w:type="default" r:id="rId10"/>
      <w:footerReference w:type="default" r:id="rId11"/>
      <w:headerReference w:type="first" r:id="rId12"/>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996" w:rsidRDefault="00637996">
      <w:pPr>
        <w:spacing w:line="240" w:lineRule="auto"/>
      </w:pPr>
      <w:r>
        <w:separator/>
      </w:r>
    </w:p>
  </w:endnote>
  <w:endnote w:type="continuationSeparator" w:id="0">
    <w:p w:rsidR="00637996" w:rsidRDefault="00637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ckwell">
    <w:panose1 w:val="020606030202050204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charset w:val="86"/>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66"/>
      <w:gridCol w:w="467"/>
    </w:tblGrid>
    <w:tr w:rsidR="006012C2">
      <w:trPr>
        <w:jc w:val="right"/>
      </w:trPr>
      <w:tc>
        <w:tcPr>
          <w:tcW w:w="4795" w:type="dxa"/>
          <w:vAlign w:val="center"/>
        </w:tcPr>
        <w:sdt>
          <w:sdtPr>
            <w:rPr>
              <w:caps/>
              <w:color w:val="000000" w:themeColor="text1"/>
            </w:rPr>
            <w:alias w:val="Author"/>
            <w:id w:val="1534539408"/>
            <w:placeholder>
              <w:docPart w:val="82B44C3587F3409EABF76FB425844826"/>
            </w:placeholder>
            <w:dataBinding w:prefixMappings="xmlns:ns0='http://purl.org/dc/elements/1.1/' xmlns:ns1='http://schemas.openxmlformats.org/package/2006/metadata/core-properties' " w:xpath="/ns1:coreProperties[1]/ns0:creator[1]" w:storeItemID="{6C3C8BC8-F283-45AE-878A-BAB7291924A1}"/>
            <w:text/>
          </w:sdtPr>
          <w:sdtEndPr/>
          <w:sdtContent>
            <w:p w:rsidR="006012C2" w:rsidRDefault="00637996">
              <w:pPr>
                <w:pStyle w:val="Header"/>
                <w:jc w:val="right"/>
                <w:rPr>
                  <w:caps/>
                  <w:color w:val="000000" w:themeColor="text1"/>
                </w:rPr>
              </w:pPr>
              <w:r>
                <w:rPr>
                  <w:caps/>
                  <w:color w:val="000000" w:themeColor="text1"/>
                  <w:lang w:val="en-US"/>
                </w:rPr>
                <w:t>MISC. APPL</w:t>
              </w:r>
              <w:r>
                <w:rPr>
                  <w:caps/>
                  <w:color w:val="000000" w:themeColor="text1"/>
                </w:rPr>
                <w:t xml:space="preserve"> E151 OF 2025</w:t>
              </w:r>
            </w:p>
          </w:sdtContent>
        </w:sdt>
      </w:tc>
      <w:tc>
        <w:tcPr>
          <w:tcW w:w="250" w:type="pct"/>
          <w:shd w:val="clear" w:color="auto" w:fill="ED7D31" w:themeFill="accent2"/>
          <w:vAlign w:val="center"/>
        </w:tcPr>
        <w:p w:rsidR="006012C2" w:rsidRDefault="00637996">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E965B6">
            <w:rPr>
              <w:noProof/>
              <w:color w:val="FFFFFF" w:themeColor="background1"/>
            </w:rPr>
            <w:t>1</w:t>
          </w:r>
          <w:r>
            <w:rPr>
              <w:color w:val="FFFFFF" w:themeColor="background1"/>
            </w:rPr>
            <w:fldChar w:fldCharType="end"/>
          </w:r>
        </w:p>
      </w:tc>
    </w:tr>
  </w:tbl>
  <w:p w:rsidR="006012C2" w:rsidRDefault="00601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996" w:rsidRDefault="00637996">
      <w:pPr>
        <w:spacing w:after="0"/>
      </w:pPr>
      <w:r>
        <w:separator/>
      </w:r>
    </w:p>
  </w:footnote>
  <w:footnote w:type="continuationSeparator" w:id="0">
    <w:p w:rsidR="00637996" w:rsidRDefault="006379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2C2" w:rsidRDefault="0063799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6251" o:spid="_x0000_s3075" type="#_x0000_t136" style="position:absolute;margin-left:0;margin-top:0;width:478.5pt;height:179.4pt;rotation:315;z-index:-251656192;mso-position-horizontal:center;mso-position-horizontal-relative:margin;mso-position-vertical:center;mso-position-vertical-relative:margin;mso-width-relative:page;mso-height-relative:page" o:allowincell="f" fillcolor="silver" stroked="f">
          <v:textpath style="font-family:&quot;Calibri&quot;;font-size:1pt" fitpath="t" string="ORIG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2C2" w:rsidRDefault="0063799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6252" o:spid="_x0000_s3074" type="#_x0000_t136" style="position:absolute;margin-left:0;margin-top:0;width:478.5pt;height:179.4pt;rotation:315;z-index:-251655168;mso-position-horizontal:center;mso-position-horizontal-relative:margin;mso-position-vertical:center;mso-position-vertical-relative:margin;mso-width-relative:page;mso-height-relative:page" o:allowincell="f" fillcolor="silver" stroked="f">
          <v:textpath style="font-family:&quot;Calibri&quot;;font-size:1pt" fitpath="t" string="ORIG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2C2" w:rsidRDefault="0063799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6250" o:spid="_x0000_s3073" type="#_x0000_t136" style="position:absolute;margin-left:0;margin-top:0;width:478.5pt;height:179.4pt;rotation:315;z-index:-251657216;mso-position-horizontal:center;mso-position-horizontal-relative:margin;mso-position-vertical:center;mso-position-vertical-relative:margin;mso-width-relative:page;mso-height-relative:page" o:allowincell="f" fillcolor="silver" stroked="f">
          <v:textpath style="font-family:&quot;Calibri&quot;;font-size:1pt" fitpath="t" string="ORIG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32FD5"/>
    <w:multiLevelType w:val="multilevel"/>
    <w:tmpl w:val="0E132FD5"/>
    <w:lvl w:ilvl="0">
      <w:start w:val="2"/>
      <w:numFmt w:val="lowerLetter"/>
      <w:lvlText w:val="%1."/>
      <w:lvlJc w:val="left"/>
      <w:pPr>
        <w:ind w:left="1080" w:hanging="360"/>
      </w:pPr>
      <w:rPr>
        <w:rFonts w:ascii="Rockwell" w:hAnsi="Rockwel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5E7736A1"/>
    <w:multiLevelType w:val="multilevel"/>
    <w:tmpl w:val="5E7736A1"/>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nsid w:val="742C7BA8"/>
    <w:multiLevelType w:val="multilevel"/>
    <w:tmpl w:val="742C7BA8"/>
    <w:lvl w:ilvl="0">
      <w:start w:val="1"/>
      <w:numFmt w:val="decimal"/>
      <w:suff w:val="nothing"/>
      <w:lvlText w:val="%1."/>
      <w:lvlJc w:val="left"/>
      <w:pPr>
        <w:ind w:left="18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3">
    <w:nsid w:val="76E747DB"/>
    <w:multiLevelType w:val="multilevel"/>
    <w:tmpl w:val="76E747DB"/>
    <w:lvl w:ilvl="0">
      <w:start w:val="1"/>
      <w:numFmt w:val="decimal"/>
      <w:suff w:val="nothing"/>
      <w:lvlText w:val="%1."/>
      <w:lvlJc w:val="left"/>
      <w:pPr>
        <w:ind w:left="360" w:hanging="360"/>
      </w:pPr>
      <w:rPr>
        <w:rFonts w:ascii="Rockwell" w:hAnsi="Rockwell" w:hint="default"/>
        <w:b w:val="0"/>
        <w:i w:val="0"/>
        <w:sz w:val="28"/>
        <w:szCs w:val="28"/>
      </w:rPr>
    </w:lvl>
    <w:lvl w:ilvl="1">
      <w:start w:val="1"/>
      <w:numFmt w:val="lowerLetter"/>
      <w:lvlText w:val="%2."/>
      <w:lvlJc w:val="left"/>
      <w:pPr>
        <w:ind w:left="1080" w:hanging="360"/>
      </w:pPr>
      <w:rPr>
        <w:rFonts w:ascii="Rockwell" w:hAnsi="Rockwel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E2"/>
    <w:rsid w:val="00112E13"/>
    <w:rsid w:val="001219E3"/>
    <w:rsid w:val="00195DE9"/>
    <w:rsid w:val="001B3917"/>
    <w:rsid w:val="001D6D65"/>
    <w:rsid w:val="001F7CD3"/>
    <w:rsid w:val="002D2D83"/>
    <w:rsid w:val="00321F50"/>
    <w:rsid w:val="00362908"/>
    <w:rsid w:val="003A2813"/>
    <w:rsid w:val="004552DE"/>
    <w:rsid w:val="00494418"/>
    <w:rsid w:val="00496302"/>
    <w:rsid w:val="00515210"/>
    <w:rsid w:val="00531EE9"/>
    <w:rsid w:val="005A3629"/>
    <w:rsid w:val="005C68DA"/>
    <w:rsid w:val="006012C2"/>
    <w:rsid w:val="00630182"/>
    <w:rsid w:val="00637996"/>
    <w:rsid w:val="00647C34"/>
    <w:rsid w:val="00683CBC"/>
    <w:rsid w:val="00685510"/>
    <w:rsid w:val="00736C27"/>
    <w:rsid w:val="00763F33"/>
    <w:rsid w:val="00797986"/>
    <w:rsid w:val="007E2AFD"/>
    <w:rsid w:val="007E4580"/>
    <w:rsid w:val="008303E0"/>
    <w:rsid w:val="008B707F"/>
    <w:rsid w:val="008B78BE"/>
    <w:rsid w:val="009A2C23"/>
    <w:rsid w:val="009C1D28"/>
    <w:rsid w:val="009E1486"/>
    <w:rsid w:val="009E21EF"/>
    <w:rsid w:val="009F55B5"/>
    <w:rsid w:val="00AE7B6F"/>
    <w:rsid w:val="00BA239A"/>
    <w:rsid w:val="00BA3D2B"/>
    <w:rsid w:val="00BB411D"/>
    <w:rsid w:val="00BC7703"/>
    <w:rsid w:val="00CF15D4"/>
    <w:rsid w:val="00D72E57"/>
    <w:rsid w:val="00D741CA"/>
    <w:rsid w:val="00DC20F4"/>
    <w:rsid w:val="00DC5DB0"/>
    <w:rsid w:val="00DE2AE2"/>
    <w:rsid w:val="00E728F1"/>
    <w:rsid w:val="00E860E9"/>
    <w:rsid w:val="00E965B6"/>
    <w:rsid w:val="00EA0FE5"/>
    <w:rsid w:val="00F070FB"/>
    <w:rsid w:val="00F85A06"/>
    <w:rsid w:val="0728217B"/>
    <w:rsid w:val="565526C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BC4DE323-6DCB-4600-9C55-E51015C4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B44C3587F3409EABF76FB425844826"/>
        <w:category>
          <w:name w:val="General"/>
          <w:gallery w:val="placeholder"/>
        </w:category>
        <w:types>
          <w:type w:val="bbPlcHdr"/>
        </w:types>
        <w:behaviors>
          <w:behavior w:val="content"/>
        </w:behaviors>
        <w:guid w:val="{655F4FA3-8105-4D72-9DD1-D1F6A758E0F4}"/>
      </w:docPartPr>
      <w:docPartBody>
        <w:p w:rsidR="00BB5AE9" w:rsidRDefault="00935CF2">
          <w:pPr>
            <w:pStyle w:val="82B44C3587F3409EABF76FB425844826"/>
          </w:pPr>
          <w:r>
            <w:rPr>
              <w:caps/>
              <w:color w:val="FFFFFF" w:themeColor="background1"/>
            </w:rPr>
            <w:t>[Author 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CF2" w:rsidRDefault="00935CF2">
      <w:pPr>
        <w:spacing w:line="240" w:lineRule="auto"/>
      </w:pPr>
      <w:r>
        <w:separator/>
      </w:r>
    </w:p>
  </w:endnote>
  <w:endnote w:type="continuationSeparator" w:id="0">
    <w:p w:rsidR="00935CF2" w:rsidRDefault="00935CF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ckwell">
    <w:panose1 w:val="020606030202050204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charset w:val="86"/>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altName w:val="MS Gothic"/>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CF2" w:rsidRDefault="00935CF2">
      <w:pPr>
        <w:spacing w:after="0"/>
      </w:pPr>
      <w:r>
        <w:separator/>
      </w:r>
    </w:p>
  </w:footnote>
  <w:footnote w:type="continuationSeparator" w:id="0">
    <w:p w:rsidR="00935CF2" w:rsidRDefault="00935CF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75"/>
    <w:rsid w:val="00935CF2"/>
    <w:rsid w:val="00BB2375"/>
    <w:rsid w:val="00BB5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437AB6D92B44C3A452A669E78C2FC0">
    <w:name w:val="40437AB6D92B44C3A452A669E78C2FC0"/>
    <w:qFormat/>
    <w:pPr>
      <w:spacing w:after="160" w:line="259" w:lineRule="auto"/>
    </w:pPr>
    <w:rPr>
      <w:sz w:val="22"/>
      <w:szCs w:val="22"/>
    </w:rPr>
  </w:style>
  <w:style w:type="paragraph" w:customStyle="1" w:styleId="82B44C3587F3409EABF76FB425844826">
    <w:name w:val="82B44C3587F3409EABF76FB425844826"/>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MISC. APPL E151 OF 2025</dc:creator>
  <cp:lastModifiedBy>Florence</cp:lastModifiedBy>
  <cp:revision>2</cp:revision>
  <cp:lastPrinted>2025-12-02T12:45:00Z</cp:lastPrinted>
  <dcterms:created xsi:type="dcterms:W3CDTF">2025-12-02T13:59:00Z</dcterms:created>
  <dcterms:modified xsi:type="dcterms:W3CDTF">2025-12-02T13:59:00Z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54CAE844614640FD9A9E2B20208F4D5C_12</vt:lpwstr>
  </property>
</Properties>
</file>