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DBC9A" w14:textId="0D598FD7" w:rsidR="00391666" w:rsidRPr="00B62C06" w:rsidRDefault="00B62C06" w:rsidP="004B328E">
      <w:pPr>
        <w:spacing w:after="0" w:line="360" w:lineRule="auto"/>
        <w:jc w:val="center"/>
        <w:rPr>
          <w:rFonts w:ascii="Rockwell" w:hAnsi="Rockwell"/>
          <w:b/>
          <w:bCs/>
          <w:sz w:val="26"/>
          <w:szCs w:val="26"/>
          <w:u w:val="single"/>
          <w:lang w:val="en-US"/>
        </w:rPr>
      </w:pPr>
      <w:r w:rsidRPr="00B62C06">
        <w:rPr>
          <w:rFonts w:ascii="Rockwell" w:hAnsi="Rockwell"/>
          <w:b/>
          <w:bCs/>
          <w:sz w:val="26"/>
          <w:szCs w:val="26"/>
          <w:u w:val="single"/>
          <w:lang w:val="en-US"/>
        </w:rPr>
        <w:t>REPUBLIC OF KENYA</w:t>
      </w:r>
    </w:p>
    <w:p w14:paraId="0C08E492" w14:textId="705BB493" w:rsidR="00B62C06" w:rsidRPr="00B62C06" w:rsidRDefault="00B62C06" w:rsidP="004B328E">
      <w:pPr>
        <w:spacing w:after="0" w:line="360" w:lineRule="auto"/>
        <w:jc w:val="center"/>
        <w:rPr>
          <w:rFonts w:ascii="Rockwell" w:hAnsi="Rockwell"/>
          <w:b/>
          <w:bCs/>
          <w:sz w:val="26"/>
          <w:szCs w:val="26"/>
          <w:u w:val="single"/>
          <w:lang w:val="en-US"/>
        </w:rPr>
      </w:pPr>
      <w:r w:rsidRPr="00B62C06">
        <w:rPr>
          <w:rFonts w:ascii="Rockwell" w:hAnsi="Rockwell"/>
          <w:b/>
          <w:bCs/>
          <w:sz w:val="26"/>
          <w:szCs w:val="26"/>
          <w:u w:val="single"/>
          <w:lang w:val="en-US"/>
        </w:rPr>
        <w:t>IN THE HIGH COURT OF KENYA AT MACHAKOS</w:t>
      </w:r>
    </w:p>
    <w:p w14:paraId="092B6B89" w14:textId="67713ABB" w:rsidR="00B62C06" w:rsidRPr="00B62C06" w:rsidRDefault="00B62C06" w:rsidP="004B328E">
      <w:pPr>
        <w:spacing w:after="0" w:line="360" w:lineRule="auto"/>
        <w:jc w:val="center"/>
        <w:rPr>
          <w:rFonts w:ascii="Rockwell" w:hAnsi="Rockwell"/>
          <w:b/>
          <w:bCs/>
          <w:sz w:val="26"/>
          <w:szCs w:val="26"/>
          <w:u w:val="single"/>
          <w:lang w:val="en-US"/>
        </w:rPr>
      </w:pPr>
      <w:r w:rsidRPr="00B62C06">
        <w:rPr>
          <w:rFonts w:ascii="Rockwell" w:hAnsi="Rockwell"/>
          <w:b/>
          <w:bCs/>
          <w:sz w:val="26"/>
          <w:szCs w:val="26"/>
          <w:u w:val="single"/>
          <w:lang w:val="en-US"/>
        </w:rPr>
        <w:t>HCOMM CASE NO E007 OF 2024</w:t>
      </w:r>
    </w:p>
    <w:p w14:paraId="7DE709BF" w14:textId="11E0AA6A" w:rsidR="00B62C06" w:rsidRPr="00B62C06" w:rsidRDefault="00B62C06" w:rsidP="004B328E">
      <w:pPr>
        <w:spacing w:after="0" w:line="360" w:lineRule="auto"/>
        <w:jc w:val="center"/>
        <w:rPr>
          <w:rFonts w:ascii="Rockwell" w:hAnsi="Rockwell"/>
          <w:b/>
          <w:bCs/>
          <w:sz w:val="24"/>
          <w:szCs w:val="24"/>
          <w:lang w:val="en-US"/>
        </w:rPr>
      </w:pPr>
      <w:r w:rsidRPr="00B62C06">
        <w:rPr>
          <w:rFonts w:ascii="Rockwell" w:hAnsi="Rockwell"/>
          <w:b/>
          <w:bCs/>
          <w:sz w:val="24"/>
          <w:szCs w:val="24"/>
          <w:lang w:val="en-US"/>
        </w:rPr>
        <w:t>OSNETT INVESTMENTS LIMITED………</w:t>
      </w:r>
      <w:r w:rsidR="00F4799E">
        <w:rPr>
          <w:rFonts w:ascii="Rockwell" w:hAnsi="Rockwell"/>
          <w:b/>
          <w:bCs/>
          <w:sz w:val="24"/>
          <w:szCs w:val="24"/>
          <w:lang w:val="en-US"/>
        </w:rPr>
        <w:t>..</w:t>
      </w:r>
      <w:r w:rsidRPr="00B62C06">
        <w:rPr>
          <w:rFonts w:ascii="Rockwell" w:hAnsi="Rockwell"/>
          <w:b/>
          <w:bCs/>
          <w:sz w:val="24"/>
          <w:szCs w:val="24"/>
          <w:lang w:val="en-US"/>
        </w:rPr>
        <w:t>…………..PLAINTIFF/APPLICANT</w:t>
      </w:r>
    </w:p>
    <w:p w14:paraId="34473747" w14:textId="5BB0296C" w:rsidR="00B62C06" w:rsidRPr="00B62C06" w:rsidRDefault="00B62C06" w:rsidP="004B328E">
      <w:pPr>
        <w:spacing w:after="0" w:line="360" w:lineRule="auto"/>
        <w:jc w:val="center"/>
        <w:rPr>
          <w:rFonts w:ascii="Rockwell" w:hAnsi="Rockwell"/>
          <w:b/>
          <w:bCs/>
          <w:sz w:val="24"/>
          <w:szCs w:val="24"/>
          <w:lang w:val="en-US"/>
        </w:rPr>
      </w:pPr>
      <w:r w:rsidRPr="00B62C06">
        <w:rPr>
          <w:rFonts w:ascii="Rockwell" w:hAnsi="Rockwell"/>
          <w:b/>
          <w:bCs/>
          <w:sz w:val="24"/>
          <w:szCs w:val="24"/>
          <w:lang w:val="en-US"/>
        </w:rPr>
        <w:t>VERSUS</w:t>
      </w:r>
    </w:p>
    <w:p w14:paraId="10320501" w14:textId="6C30C042" w:rsidR="00B62C06" w:rsidRPr="00B62C06" w:rsidRDefault="00B62C06" w:rsidP="004B328E">
      <w:pPr>
        <w:spacing w:after="0" w:line="360" w:lineRule="auto"/>
        <w:jc w:val="center"/>
        <w:rPr>
          <w:rFonts w:ascii="Rockwell" w:hAnsi="Rockwell"/>
          <w:b/>
          <w:bCs/>
          <w:sz w:val="24"/>
          <w:szCs w:val="24"/>
          <w:lang w:val="en-US"/>
        </w:rPr>
      </w:pPr>
      <w:r w:rsidRPr="00B62C06">
        <w:rPr>
          <w:rFonts w:ascii="Rockwell" w:hAnsi="Rockwell"/>
          <w:b/>
          <w:bCs/>
          <w:sz w:val="24"/>
          <w:szCs w:val="24"/>
          <w:lang w:val="en-US"/>
        </w:rPr>
        <w:t>KENYA COMMERCIAL BANK LIMITED</w:t>
      </w:r>
      <w:r>
        <w:rPr>
          <w:rFonts w:ascii="Rockwell" w:hAnsi="Rockwell"/>
          <w:b/>
          <w:bCs/>
          <w:sz w:val="24"/>
          <w:szCs w:val="24"/>
          <w:lang w:val="en-US"/>
        </w:rPr>
        <w:t>….</w:t>
      </w:r>
      <w:r w:rsidR="00494A79">
        <w:rPr>
          <w:rFonts w:ascii="Rockwell" w:hAnsi="Rockwell"/>
          <w:b/>
          <w:bCs/>
          <w:sz w:val="24"/>
          <w:szCs w:val="24"/>
          <w:lang w:val="en-US"/>
        </w:rPr>
        <w:t>.</w:t>
      </w:r>
      <w:r>
        <w:rPr>
          <w:rFonts w:ascii="Rockwell" w:hAnsi="Rockwell"/>
          <w:b/>
          <w:bCs/>
          <w:sz w:val="24"/>
          <w:szCs w:val="24"/>
          <w:lang w:val="en-US"/>
        </w:rPr>
        <w:t>.</w:t>
      </w:r>
      <w:r w:rsidRPr="00B62C06">
        <w:rPr>
          <w:rFonts w:ascii="Rockwell" w:hAnsi="Rockwell"/>
          <w:b/>
          <w:bCs/>
          <w:sz w:val="24"/>
          <w:szCs w:val="24"/>
          <w:lang w:val="en-US"/>
        </w:rPr>
        <w:t>1</w:t>
      </w:r>
      <w:r w:rsidRPr="00B62C06">
        <w:rPr>
          <w:rFonts w:ascii="Rockwell" w:hAnsi="Rockwell"/>
          <w:b/>
          <w:bCs/>
          <w:sz w:val="24"/>
          <w:szCs w:val="24"/>
          <w:vertAlign w:val="superscript"/>
          <w:lang w:val="en-US"/>
        </w:rPr>
        <w:t>ST</w:t>
      </w:r>
      <w:r w:rsidRPr="00B62C06">
        <w:rPr>
          <w:rFonts w:ascii="Rockwell" w:hAnsi="Rockwell"/>
          <w:b/>
          <w:bCs/>
          <w:sz w:val="24"/>
          <w:szCs w:val="24"/>
          <w:lang w:val="en-US"/>
        </w:rPr>
        <w:t xml:space="preserve"> DEFENDANT/RESPONDENT</w:t>
      </w:r>
    </w:p>
    <w:p w14:paraId="2B333A35" w14:textId="03B9B47B" w:rsidR="00B62C06" w:rsidRPr="00B62C06" w:rsidRDefault="00B62C06" w:rsidP="004B328E">
      <w:pPr>
        <w:spacing w:after="0" w:line="360" w:lineRule="auto"/>
        <w:jc w:val="center"/>
        <w:rPr>
          <w:rFonts w:ascii="Rockwell" w:hAnsi="Rockwell"/>
          <w:b/>
          <w:bCs/>
          <w:sz w:val="24"/>
          <w:szCs w:val="24"/>
          <w:lang w:val="en-US"/>
        </w:rPr>
      </w:pPr>
      <w:r w:rsidRPr="00B62C06">
        <w:rPr>
          <w:rFonts w:ascii="Rockwell" w:hAnsi="Rockwell"/>
          <w:b/>
          <w:bCs/>
          <w:sz w:val="24"/>
          <w:szCs w:val="24"/>
          <w:lang w:val="en-US"/>
        </w:rPr>
        <w:t>NORERN AUCTIONEERS…………</w:t>
      </w:r>
      <w:r>
        <w:rPr>
          <w:rFonts w:ascii="Rockwell" w:hAnsi="Rockwell"/>
          <w:b/>
          <w:bCs/>
          <w:sz w:val="24"/>
          <w:szCs w:val="24"/>
          <w:lang w:val="en-US"/>
        </w:rPr>
        <w:t>……</w:t>
      </w:r>
      <w:r w:rsidR="00494A79">
        <w:rPr>
          <w:rFonts w:ascii="Rockwell" w:hAnsi="Rockwell"/>
          <w:b/>
          <w:bCs/>
          <w:sz w:val="24"/>
          <w:szCs w:val="24"/>
          <w:lang w:val="en-US"/>
        </w:rPr>
        <w:t>.</w:t>
      </w:r>
      <w:r>
        <w:rPr>
          <w:rFonts w:ascii="Rockwell" w:hAnsi="Rockwell"/>
          <w:b/>
          <w:bCs/>
          <w:sz w:val="24"/>
          <w:szCs w:val="24"/>
          <w:lang w:val="en-US"/>
        </w:rPr>
        <w:t>..</w:t>
      </w:r>
      <w:r w:rsidRPr="00B62C06">
        <w:rPr>
          <w:rFonts w:ascii="Rockwell" w:hAnsi="Rockwell"/>
          <w:b/>
          <w:bCs/>
          <w:sz w:val="24"/>
          <w:szCs w:val="24"/>
          <w:lang w:val="en-US"/>
        </w:rPr>
        <w:t>……2</w:t>
      </w:r>
      <w:r w:rsidRPr="00B62C06">
        <w:rPr>
          <w:rFonts w:ascii="Rockwell" w:hAnsi="Rockwell"/>
          <w:b/>
          <w:bCs/>
          <w:sz w:val="24"/>
          <w:szCs w:val="24"/>
          <w:vertAlign w:val="superscript"/>
          <w:lang w:val="en-US"/>
        </w:rPr>
        <w:t>ND</w:t>
      </w:r>
      <w:r w:rsidRPr="00B62C06">
        <w:rPr>
          <w:rFonts w:ascii="Rockwell" w:hAnsi="Rockwell"/>
          <w:b/>
          <w:bCs/>
          <w:sz w:val="24"/>
          <w:szCs w:val="24"/>
          <w:lang w:val="en-US"/>
        </w:rPr>
        <w:t xml:space="preserve"> DEFENDANT/RESPONDENT</w:t>
      </w:r>
    </w:p>
    <w:p w14:paraId="7CF87412" w14:textId="56BA0A86" w:rsidR="00B62C06" w:rsidRPr="00B62C06" w:rsidRDefault="00B62C06" w:rsidP="00B62C06">
      <w:pPr>
        <w:spacing w:line="360" w:lineRule="auto"/>
        <w:jc w:val="center"/>
        <w:rPr>
          <w:rFonts w:ascii="Rockwell" w:hAnsi="Rockwell"/>
          <w:b/>
          <w:bCs/>
          <w:sz w:val="28"/>
          <w:szCs w:val="28"/>
          <w:u w:val="single"/>
          <w:lang w:val="en-US"/>
        </w:rPr>
      </w:pPr>
      <w:r w:rsidRPr="00B62C06">
        <w:rPr>
          <w:rFonts w:ascii="Rockwell" w:hAnsi="Rockwell"/>
          <w:b/>
          <w:bCs/>
          <w:sz w:val="28"/>
          <w:szCs w:val="28"/>
          <w:u w:val="single"/>
          <w:lang w:val="en-US"/>
        </w:rPr>
        <w:t>RULING</w:t>
      </w:r>
    </w:p>
    <w:p w14:paraId="0E87CC95" w14:textId="742CB2EC" w:rsidR="00B62C06" w:rsidRDefault="00B62C06" w:rsidP="00494A79">
      <w:pPr>
        <w:pStyle w:val="ListParagraph"/>
        <w:numPr>
          <w:ilvl w:val="0"/>
          <w:numId w:val="1"/>
        </w:numPr>
        <w:spacing w:line="360" w:lineRule="auto"/>
        <w:ind w:left="142"/>
        <w:jc w:val="both"/>
        <w:rPr>
          <w:rFonts w:ascii="Rockwell" w:hAnsi="Rockwell"/>
          <w:sz w:val="28"/>
          <w:szCs w:val="28"/>
          <w:lang w:val="en-US"/>
        </w:rPr>
      </w:pPr>
      <w:r w:rsidRPr="00B62C06">
        <w:rPr>
          <w:rFonts w:ascii="Rockwell" w:hAnsi="Rockwell"/>
          <w:sz w:val="28"/>
          <w:szCs w:val="28"/>
          <w:lang w:val="en-US"/>
        </w:rPr>
        <w:t xml:space="preserve">The Applicant filed Notice of Motion Application dated </w:t>
      </w:r>
      <w:r w:rsidR="00D07EF4">
        <w:rPr>
          <w:rFonts w:ascii="Rockwell" w:hAnsi="Rockwell"/>
          <w:sz w:val="28"/>
          <w:szCs w:val="28"/>
          <w:lang w:val="en-US"/>
        </w:rPr>
        <w:t>03</w:t>
      </w:r>
      <w:r w:rsidRPr="00B62C06">
        <w:rPr>
          <w:rFonts w:ascii="Rockwell" w:hAnsi="Rockwell"/>
          <w:sz w:val="28"/>
          <w:szCs w:val="28"/>
          <w:lang w:val="en-US"/>
        </w:rPr>
        <w:t>/0</w:t>
      </w:r>
      <w:r w:rsidR="00D07EF4">
        <w:rPr>
          <w:rFonts w:ascii="Rockwell" w:hAnsi="Rockwell"/>
          <w:sz w:val="28"/>
          <w:szCs w:val="28"/>
          <w:lang w:val="en-US"/>
        </w:rPr>
        <w:t>3</w:t>
      </w:r>
      <w:r w:rsidRPr="00B62C06">
        <w:rPr>
          <w:rFonts w:ascii="Rockwell" w:hAnsi="Rockwell"/>
          <w:sz w:val="28"/>
          <w:szCs w:val="28"/>
          <w:lang w:val="en-US"/>
        </w:rPr>
        <w:t>/202</w:t>
      </w:r>
      <w:r w:rsidR="008F6EA2">
        <w:rPr>
          <w:rFonts w:ascii="Rockwell" w:hAnsi="Rockwell"/>
          <w:sz w:val="28"/>
          <w:szCs w:val="28"/>
          <w:lang w:val="en-US"/>
        </w:rPr>
        <w:t>5</w:t>
      </w:r>
      <w:r w:rsidRPr="00B62C06">
        <w:rPr>
          <w:rFonts w:ascii="Rockwell" w:hAnsi="Rockwell"/>
          <w:sz w:val="28"/>
          <w:szCs w:val="28"/>
          <w:lang w:val="en-US"/>
        </w:rPr>
        <w:t xml:space="preserve"> seeking the following </w:t>
      </w:r>
      <w:r w:rsidR="00F4799E" w:rsidRPr="00B62C06">
        <w:rPr>
          <w:rFonts w:ascii="Rockwell" w:hAnsi="Rockwell"/>
          <w:sz w:val="28"/>
          <w:szCs w:val="28"/>
          <w:lang w:val="en-US"/>
        </w:rPr>
        <w:t>orders</w:t>
      </w:r>
      <w:r w:rsidR="00F4799E">
        <w:rPr>
          <w:rFonts w:ascii="Rockwell" w:hAnsi="Rockwell"/>
          <w:sz w:val="28"/>
          <w:szCs w:val="28"/>
          <w:lang w:val="en-US"/>
        </w:rPr>
        <w:t>, that</w:t>
      </w:r>
      <w:r>
        <w:rPr>
          <w:rFonts w:ascii="Rockwell" w:hAnsi="Rockwell"/>
          <w:sz w:val="28"/>
          <w:szCs w:val="28"/>
          <w:lang w:val="en-US"/>
        </w:rPr>
        <w:t>;</w:t>
      </w:r>
    </w:p>
    <w:p w14:paraId="78AA5059" w14:textId="28052EB4" w:rsidR="008F6EA2" w:rsidRPr="008F6EA2" w:rsidRDefault="008F6EA2" w:rsidP="00B62C06">
      <w:pPr>
        <w:pStyle w:val="ListParagraph"/>
        <w:numPr>
          <w:ilvl w:val="1"/>
          <w:numId w:val="1"/>
        </w:numPr>
        <w:spacing w:line="360" w:lineRule="auto"/>
        <w:jc w:val="both"/>
        <w:rPr>
          <w:rFonts w:ascii="Rockwell" w:hAnsi="Rockwell"/>
          <w:b/>
          <w:bCs/>
          <w:i/>
          <w:iCs/>
          <w:sz w:val="28"/>
          <w:szCs w:val="28"/>
          <w:lang w:val="en-US"/>
        </w:rPr>
      </w:pPr>
      <w:r>
        <w:rPr>
          <w:rFonts w:ascii="Rockwell" w:hAnsi="Rockwell"/>
          <w:b/>
          <w:bCs/>
          <w:i/>
          <w:iCs/>
          <w:sz w:val="28"/>
          <w:szCs w:val="28"/>
          <w:lang w:val="en-US"/>
        </w:rPr>
        <w:t>Spent</w:t>
      </w:r>
    </w:p>
    <w:p w14:paraId="0EF06816" w14:textId="106528CD" w:rsidR="008F6EA2" w:rsidRPr="008F6EA2" w:rsidRDefault="008F6EA2" w:rsidP="00B62C06">
      <w:pPr>
        <w:pStyle w:val="ListParagraph"/>
        <w:numPr>
          <w:ilvl w:val="1"/>
          <w:numId w:val="1"/>
        </w:numPr>
        <w:spacing w:line="360" w:lineRule="auto"/>
        <w:jc w:val="both"/>
        <w:rPr>
          <w:rFonts w:ascii="Rockwell" w:hAnsi="Rockwell"/>
          <w:b/>
          <w:bCs/>
          <w:i/>
          <w:iCs/>
          <w:sz w:val="28"/>
          <w:szCs w:val="28"/>
          <w:lang w:val="en-US"/>
        </w:rPr>
      </w:pPr>
      <w:r w:rsidRPr="008F6EA2">
        <w:rPr>
          <w:rFonts w:ascii="Rockwell" w:hAnsi="Rockwell"/>
          <w:b/>
          <w:bCs/>
          <w:i/>
          <w:iCs/>
          <w:sz w:val="28"/>
          <w:szCs w:val="28"/>
        </w:rPr>
        <w:t xml:space="preserve">The honourable court be pleased to set aside </w:t>
      </w:r>
      <w:bookmarkStart w:id="0" w:name="_Hlk210104768"/>
      <w:r w:rsidRPr="008F6EA2">
        <w:rPr>
          <w:rFonts w:ascii="Rockwell" w:hAnsi="Rockwell"/>
          <w:b/>
          <w:bCs/>
          <w:i/>
          <w:iCs/>
          <w:sz w:val="28"/>
          <w:szCs w:val="28"/>
        </w:rPr>
        <w:t>the ruling entered against the plaintiff/applicant on 25</w:t>
      </w:r>
      <w:r w:rsidRPr="00886EEC">
        <w:rPr>
          <w:rFonts w:ascii="Rockwell" w:hAnsi="Rockwell"/>
          <w:b/>
          <w:bCs/>
          <w:i/>
          <w:iCs/>
          <w:sz w:val="28"/>
          <w:szCs w:val="28"/>
          <w:vertAlign w:val="superscript"/>
        </w:rPr>
        <w:t>th</w:t>
      </w:r>
      <w:r w:rsidR="00886EEC">
        <w:rPr>
          <w:rFonts w:ascii="Rockwell" w:hAnsi="Rockwell"/>
          <w:b/>
          <w:bCs/>
          <w:i/>
          <w:iCs/>
          <w:sz w:val="28"/>
          <w:szCs w:val="28"/>
          <w:lang w:val="en-US"/>
        </w:rPr>
        <w:t xml:space="preserve"> </w:t>
      </w:r>
      <w:r w:rsidRPr="008F6EA2">
        <w:rPr>
          <w:rFonts w:ascii="Rockwell" w:hAnsi="Rockwell"/>
          <w:b/>
          <w:bCs/>
          <w:i/>
          <w:iCs/>
          <w:sz w:val="28"/>
          <w:szCs w:val="28"/>
        </w:rPr>
        <w:t>September 202</w:t>
      </w:r>
      <w:r w:rsidR="00F147CC">
        <w:rPr>
          <w:rFonts w:ascii="Rockwell" w:hAnsi="Rockwell"/>
          <w:b/>
          <w:bCs/>
          <w:i/>
          <w:iCs/>
          <w:sz w:val="28"/>
          <w:szCs w:val="28"/>
          <w:lang w:val="en-US"/>
        </w:rPr>
        <w:t>4</w:t>
      </w:r>
      <w:r w:rsidRPr="008F6EA2">
        <w:rPr>
          <w:rFonts w:ascii="Rockwell" w:hAnsi="Rockwell"/>
          <w:b/>
          <w:bCs/>
          <w:i/>
          <w:iCs/>
          <w:sz w:val="28"/>
          <w:szCs w:val="28"/>
        </w:rPr>
        <w:t xml:space="preserve">. </w:t>
      </w:r>
    </w:p>
    <w:bookmarkEnd w:id="0"/>
    <w:p w14:paraId="66632DCA" w14:textId="77777777" w:rsidR="008F6EA2" w:rsidRPr="008F6EA2" w:rsidRDefault="008F6EA2" w:rsidP="00B62C06">
      <w:pPr>
        <w:pStyle w:val="ListParagraph"/>
        <w:numPr>
          <w:ilvl w:val="1"/>
          <w:numId w:val="1"/>
        </w:numPr>
        <w:spacing w:line="360" w:lineRule="auto"/>
        <w:jc w:val="both"/>
        <w:rPr>
          <w:rFonts w:ascii="Rockwell" w:hAnsi="Rockwell"/>
          <w:b/>
          <w:bCs/>
          <w:i/>
          <w:iCs/>
          <w:sz w:val="28"/>
          <w:szCs w:val="28"/>
          <w:lang w:val="en-US"/>
        </w:rPr>
      </w:pPr>
      <w:r w:rsidRPr="008F6EA2">
        <w:rPr>
          <w:rFonts w:ascii="Rockwell" w:hAnsi="Rockwell"/>
          <w:b/>
          <w:bCs/>
          <w:i/>
          <w:iCs/>
          <w:sz w:val="28"/>
          <w:szCs w:val="28"/>
        </w:rPr>
        <w:t xml:space="preserve">This case be reinstated and continue from where it had reached before Justice Honourable Muigai. </w:t>
      </w:r>
    </w:p>
    <w:p w14:paraId="7A9E333C" w14:textId="77777777" w:rsidR="004B328E" w:rsidRPr="004B328E" w:rsidRDefault="008F6EA2" w:rsidP="00B62C06">
      <w:pPr>
        <w:pStyle w:val="ListParagraph"/>
        <w:numPr>
          <w:ilvl w:val="1"/>
          <w:numId w:val="1"/>
        </w:numPr>
        <w:spacing w:line="360" w:lineRule="auto"/>
        <w:jc w:val="both"/>
        <w:rPr>
          <w:rFonts w:ascii="Rockwell" w:hAnsi="Rockwell"/>
          <w:b/>
          <w:bCs/>
          <w:i/>
          <w:iCs/>
          <w:sz w:val="28"/>
          <w:szCs w:val="28"/>
          <w:lang w:val="en-US"/>
        </w:rPr>
      </w:pPr>
      <w:r w:rsidRPr="008F6EA2">
        <w:rPr>
          <w:rFonts w:ascii="Rockwell" w:hAnsi="Rockwell"/>
          <w:b/>
          <w:bCs/>
          <w:i/>
          <w:iCs/>
          <w:sz w:val="28"/>
          <w:szCs w:val="28"/>
        </w:rPr>
        <w:t>The Plaintiff will suffer irreparable harm if the orders sought are not granted.</w:t>
      </w:r>
    </w:p>
    <w:p w14:paraId="250A05F7" w14:textId="22208DFE" w:rsidR="00B62C06" w:rsidRPr="00B62C06" w:rsidRDefault="008F6EA2" w:rsidP="00B62C06">
      <w:pPr>
        <w:pStyle w:val="ListParagraph"/>
        <w:numPr>
          <w:ilvl w:val="1"/>
          <w:numId w:val="1"/>
        </w:numPr>
        <w:spacing w:line="360" w:lineRule="auto"/>
        <w:jc w:val="both"/>
        <w:rPr>
          <w:rFonts w:ascii="Rockwell" w:hAnsi="Rockwell"/>
          <w:b/>
          <w:bCs/>
          <w:i/>
          <w:iCs/>
          <w:sz w:val="28"/>
          <w:szCs w:val="28"/>
          <w:lang w:val="en-US"/>
        </w:rPr>
      </w:pPr>
      <w:r w:rsidRPr="008F6EA2">
        <w:rPr>
          <w:rFonts w:ascii="Rockwell" w:hAnsi="Rockwell"/>
          <w:b/>
          <w:bCs/>
          <w:i/>
          <w:iCs/>
          <w:sz w:val="28"/>
          <w:szCs w:val="28"/>
        </w:rPr>
        <w:t xml:space="preserve"> </w:t>
      </w:r>
      <w:r w:rsidR="00B62C06" w:rsidRPr="00B62C06">
        <w:rPr>
          <w:rFonts w:ascii="Rockwell" w:hAnsi="Rockwell"/>
          <w:b/>
          <w:bCs/>
          <w:i/>
          <w:iCs/>
          <w:sz w:val="28"/>
          <w:szCs w:val="28"/>
          <w:lang w:val="en-US"/>
        </w:rPr>
        <w:t>Costs of this application be provided for.</w:t>
      </w:r>
    </w:p>
    <w:p w14:paraId="579BB4B8" w14:textId="77777777" w:rsidR="00494A79" w:rsidRPr="00494A79" w:rsidRDefault="00B62C06" w:rsidP="00494A79">
      <w:pPr>
        <w:pStyle w:val="ListParagraph"/>
        <w:numPr>
          <w:ilvl w:val="0"/>
          <w:numId w:val="1"/>
        </w:numPr>
        <w:spacing w:line="360" w:lineRule="auto"/>
        <w:ind w:left="0" w:hanging="284"/>
        <w:jc w:val="both"/>
        <w:rPr>
          <w:rFonts w:ascii="Rockwell" w:hAnsi="Rockwell"/>
          <w:sz w:val="28"/>
          <w:szCs w:val="28"/>
          <w:lang w:val="en-US"/>
        </w:rPr>
      </w:pPr>
      <w:r>
        <w:rPr>
          <w:rFonts w:ascii="Rockwell" w:hAnsi="Rockwell"/>
          <w:sz w:val="28"/>
          <w:szCs w:val="28"/>
          <w:lang w:val="en-US"/>
        </w:rPr>
        <w:t xml:space="preserve">The Application is supported by the Affidavit of Esther Mutindi Mwau Sigilai, a director of the Applicant company who contended that </w:t>
      </w:r>
      <w:r w:rsidR="004B328E">
        <w:rPr>
          <w:rFonts w:ascii="Rockwell" w:hAnsi="Rockwell"/>
          <w:sz w:val="28"/>
          <w:szCs w:val="28"/>
          <w:lang w:val="en-US"/>
        </w:rPr>
        <w:t>she</w:t>
      </w:r>
      <w:r w:rsidR="004B328E" w:rsidRPr="004B328E">
        <w:rPr>
          <w:rFonts w:ascii="Rockwell" w:hAnsi="Rockwell"/>
          <w:sz w:val="28"/>
          <w:szCs w:val="28"/>
        </w:rPr>
        <w:t xml:space="preserve"> instituted this case on the 4</w:t>
      </w:r>
      <w:r w:rsidR="004B328E">
        <w:rPr>
          <w:rFonts w:ascii="Rockwell" w:hAnsi="Rockwell"/>
          <w:sz w:val="28"/>
          <w:szCs w:val="28"/>
          <w:lang w:val="en-US"/>
        </w:rPr>
        <w:t>/04/</w:t>
      </w:r>
      <w:r w:rsidR="004B328E" w:rsidRPr="004B328E">
        <w:rPr>
          <w:rFonts w:ascii="Rockwell" w:hAnsi="Rockwell"/>
          <w:sz w:val="28"/>
          <w:szCs w:val="28"/>
        </w:rPr>
        <w:t>2024 seeking judgement against the Defendants for initiating recovery proceedings leading to loss of the subject motor vehicle, loss of business, loss of profits, loss of interests, damages for mental and psychological torture and costs of the suit</w:t>
      </w:r>
      <w:r w:rsidR="004B328E">
        <w:rPr>
          <w:rFonts w:ascii="Rockwell" w:hAnsi="Rockwell"/>
          <w:sz w:val="28"/>
          <w:szCs w:val="28"/>
          <w:lang w:val="en-US"/>
        </w:rPr>
        <w:t xml:space="preserve">; at </w:t>
      </w:r>
      <w:r w:rsidR="004B328E" w:rsidRPr="004B328E">
        <w:rPr>
          <w:rFonts w:ascii="Rockwell" w:hAnsi="Rockwell"/>
          <w:sz w:val="28"/>
          <w:szCs w:val="28"/>
        </w:rPr>
        <w:t xml:space="preserve">the time </w:t>
      </w:r>
      <w:r w:rsidR="004B328E">
        <w:rPr>
          <w:rFonts w:ascii="Rockwell" w:hAnsi="Rockwell"/>
          <w:sz w:val="28"/>
          <w:szCs w:val="28"/>
          <w:lang w:val="en-US"/>
        </w:rPr>
        <w:t>,</w:t>
      </w:r>
      <w:r w:rsidR="004B328E" w:rsidRPr="004B328E">
        <w:rPr>
          <w:rFonts w:ascii="Rockwell" w:hAnsi="Rockwell"/>
          <w:sz w:val="28"/>
          <w:szCs w:val="28"/>
        </w:rPr>
        <w:t>there was Milimani Commercial Case No. 4813 of 2018 between the same parties which had not been heard or determined and which had been set down for Pre-trial directions before Hon. C.K Cheptoo on 8th August 2023.</w:t>
      </w:r>
      <w:r w:rsidR="004B328E">
        <w:rPr>
          <w:rFonts w:ascii="Rockwell" w:hAnsi="Rockwell"/>
          <w:sz w:val="28"/>
          <w:szCs w:val="28"/>
          <w:lang w:val="en-US"/>
        </w:rPr>
        <w:t xml:space="preserve"> The</w:t>
      </w:r>
      <w:r w:rsidR="004B328E" w:rsidRPr="004B328E">
        <w:rPr>
          <w:rFonts w:ascii="Rockwell" w:hAnsi="Rockwell"/>
          <w:sz w:val="28"/>
          <w:szCs w:val="28"/>
        </w:rPr>
        <w:t xml:space="preserve"> Defendants</w:t>
      </w:r>
      <w:r w:rsidR="004B328E">
        <w:rPr>
          <w:rFonts w:ascii="Rockwell" w:hAnsi="Rockwell"/>
          <w:sz w:val="28"/>
          <w:szCs w:val="28"/>
          <w:lang w:val="en-US"/>
        </w:rPr>
        <w:t xml:space="preserve"> in an application dated </w:t>
      </w:r>
      <w:r w:rsidR="004B328E">
        <w:rPr>
          <w:rFonts w:ascii="Rockwell" w:hAnsi="Rockwell"/>
          <w:sz w:val="28"/>
          <w:szCs w:val="28"/>
          <w:lang w:val="en-US"/>
        </w:rPr>
        <w:lastRenderedPageBreak/>
        <w:t>6/05/2024</w:t>
      </w:r>
      <w:r w:rsidR="004B328E" w:rsidRPr="004B328E">
        <w:rPr>
          <w:rFonts w:ascii="Rockwell" w:hAnsi="Rockwell"/>
          <w:sz w:val="28"/>
          <w:szCs w:val="28"/>
        </w:rPr>
        <w:t xml:space="preserve"> sought </w:t>
      </w:r>
      <w:r w:rsidR="004B328E">
        <w:rPr>
          <w:rFonts w:ascii="Rockwell" w:hAnsi="Rockwell"/>
          <w:sz w:val="28"/>
          <w:szCs w:val="28"/>
          <w:lang w:val="en-US"/>
        </w:rPr>
        <w:t>to</w:t>
      </w:r>
      <w:r w:rsidR="004B328E" w:rsidRPr="004B328E">
        <w:rPr>
          <w:rFonts w:ascii="Rockwell" w:hAnsi="Rockwell"/>
          <w:sz w:val="28"/>
          <w:szCs w:val="28"/>
        </w:rPr>
        <w:t xml:space="preserve"> </w:t>
      </w:r>
      <w:r w:rsidR="00186A38" w:rsidRPr="004B328E">
        <w:rPr>
          <w:rFonts w:ascii="Rockwell" w:hAnsi="Rockwell"/>
          <w:sz w:val="28"/>
          <w:szCs w:val="28"/>
        </w:rPr>
        <w:t>striking</w:t>
      </w:r>
      <w:r w:rsidR="004B328E" w:rsidRPr="004B328E">
        <w:rPr>
          <w:rFonts w:ascii="Rockwell" w:hAnsi="Rockwell"/>
          <w:sz w:val="28"/>
          <w:szCs w:val="28"/>
        </w:rPr>
        <w:t xml:space="preserve"> out the Plaintiffs application for reason of being sub-judice</w:t>
      </w:r>
      <w:r w:rsidR="004B328E">
        <w:rPr>
          <w:rFonts w:ascii="Rockwell" w:hAnsi="Rockwell"/>
          <w:sz w:val="28"/>
          <w:szCs w:val="28"/>
          <w:lang w:val="en-US"/>
        </w:rPr>
        <w:t xml:space="preserve"> and after hearing and determination, the same was struck of</w:t>
      </w:r>
      <w:r w:rsidR="004B328E" w:rsidRPr="004B328E">
        <w:rPr>
          <w:rFonts w:ascii="Rockwell" w:hAnsi="Rockwell"/>
          <w:sz w:val="28"/>
          <w:szCs w:val="28"/>
        </w:rPr>
        <w:t>.</w:t>
      </w:r>
    </w:p>
    <w:p w14:paraId="3C6246AA" w14:textId="77777777" w:rsidR="00494A79" w:rsidRDefault="004B328E" w:rsidP="00494A79">
      <w:pPr>
        <w:pStyle w:val="ListParagraph"/>
        <w:numPr>
          <w:ilvl w:val="0"/>
          <w:numId w:val="1"/>
        </w:numPr>
        <w:spacing w:line="360" w:lineRule="auto"/>
        <w:ind w:left="0" w:hanging="284"/>
        <w:jc w:val="both"/>
        <w:rPr>
          <w:rFonts w:ascii="Rockwell" w:hAnsi="Rockwell"/>
          <w:sz w:val="28"/>
          <w:szCs w:val="28"/>
          <w:lang w:val="en-US"/>
        </w:rPr>
      </w:pPr>
      <w:r w:rsidRPr="00494A79">
        <w:rPr>
          <w:rFonts w:ascii="Rockwell" w:hAnsi="Rockwell"/>
          <w:sz w:val="28"/>
          <w:szCs w:val="28"/>
          <w:lang w:val="en-US"/>
        </w:rPr>
        <w:t xml:space="preserve">The Applicant contended that it </w:t>
      </w:r>
      <w:r w:rsidRPr="00494A79">
        <w:rPr>
          <w:rFonts w:ascii="Rockwell" w:hAnsi="Rockwell"/>
          <w:sz w:val="28"/>
          <w:szCs w:val="28"/>
        </w:rPr>
        <w:t>noticed apparent</w:t>
      </w:r>
      <w:r w:rsidRPr="00494A79">
        <w:rPr>
          <w:rFonts w:ascii="Rockwell" w:hAnsi="Rockwell"/>
          <w:sz w:val="28"/>
          <w:szCs w:val="28"/>
          <w:lang w:val="en-US"/>
        </w:rPr>
        <w:t xml:space="preserve"> error and</w:t>
      </w:r>
      <w:r w:rsidRPr="00494A79">
        <w:rPr>
          <w:rFonts w:ascii="Rockwell" w:hAnsi="Rockwell"/>
          <w:sz w:val="28"/>
          <w:szCs w:val="28"/>
        </w:rPr>
        <w:t xml:space="preserve"> decided to withdraw Milimani Commercial Case No. 4813 of 2018</w:t>
      </w:r>
      <w:r w:rsidRPr="00494A79">
        <w:rPr>
          <w:rFonts w:ascii="Rockwell" w:hAnsi="Rockwell"/>
          <w:sz w:val="28"/>
          <w:szCs w:val="28"/>
          <w:lang w:val="en-US"/>
        </w:rPr>
        <w:t xml:space="preserve"> due to the </w:t>
      </w:r>
      <w:r w:rsidRPr="00494A79">
        <w:rPr>
          <w:rFonts w:ascii="Rockwell" w:hAnsi="Rockwell"/>
          <w:sz w:val="28"/>
          <w:szCs w:val="28"/>
        </w:rPr>
        <w:t>court lacking the pecuniary jurisdiction to hear and determine this matter, through a notice of withdrawal duly filed on 13</w:t>
      </w:r>
      <w:r w:rsidRPr="00494A79">
        <w:rPr>
          <w:rFonts w:ascii="Rockwell" w:hAnsi="Rockwell"/>
          <w:sz w:val="28"/>
          <w:szCs w:val="28"/>
          <w:lang w:val="en-US"/>
        </w:rPr>
        <w:t>/11/</w:t>
      </w:r>
      <w:r w:rsidRPr="00494A79">
        <w:rPr>
          <w:rFonts w:ascii="Rockwell" w:hAnsi="Rockwell"/>
          <w:sz w:val="28"/>
          <w:szCs w:val="28"/>
        </w:rPr>
        <w:t>2024.</w:t>
      </w:r>
      <w:r w:rsidRPr="00494A79">
        <w:rPr>
          <w:rFonts w:ascii="Rockwell" w:hAnsi="Rockwell"/>
          <w:sz w:val="28"/>
          <w:szCs w:val="28"/>
          <w:lang w:val="en-US"/>
        </w:rPr>
        <w:t xml:space="preserve"> It was indicated that as at 8/08/2023 the case had not been heard. The Applicant deposed that the </w:t>
      </w:r>
      <w:r w:rsidRPr="00494A79">
        <w:rPr>
          <w:rFonts w:ascii="Rockwell" w:hAnsi="Rockwell"/>
          <w:sz w:val="28"/>
          <w:szCs w:val="28"/>
        </w:rPr>
        <w:t xml:space="preserve">dual filing was not in any way meant as an abuse of the court process </w:t>
      </w:r>
      <w:r w:rsidRPr="00494A79">
        <w:rPr>
          <w:rFonts w:ascii="Rockwell" w:hAnsi="Rockwell"/>
          <w:sz w:val="28"/>
          <w:szCs w:val="28"/>
          <w:lang w:val="en-US"/>
        </w:rPr>
        <w:t xml:space="preserve">and urged the court to grant the orders sought as he </w:t>
      </w:r>
      <w:r w:rsidRPr="00494A79">
        <w:rPr>
          <w:rFonts w:ascii="Rockwell" w:hAnsi="Rockwell"/>
          <w:sz w:val="28"/>
          <w:szCs w:val="28"/>
        </w:rPr>
        <w:t>will be unfairly condemned to continue paying interest on the subject motor vehicle loan facility which has already been re-possessed by the Defendants.</w:t>
      </w:r>
      <w:r w:rsidRPr="00494A79">
        <w:rPr>
          <w:rFonts w:ascii="Rockwell" w:hAnsi="Rockwell"/>
          <w:sz w:val="28"/>
          <w:szCs w:val="28"/>
          <w:lang w:val="en-US"/>
        </w:rPr>
        <w:t xml:space="preserve"> </w:t>
      </w:r>
    </w:p>
    <w:p w14:paraId="077D7070" w14:textId="77777777" w:rsidR="00494A79" w:rsidRDefault="00494A79" w:rsidP="00494A79">
      <w:pPr>
        <w:pStyle w:val="ListParagraph"/>
        <w:spacing w:line="360" w:lineRule="auto"/>
        <w:ind w:left="0"/>
        <w:jc w:val="both"/>
        <w:rPr>
          <w:rFonts w:ascii="Rockwell" w:hAnsi="Rockwell"/>
          <w:sz w:val="28"/>
          <w:szCs w:val="28"/>
          <w:lang w:val="en-US"/>
        </w:rPr>
      </w:pPr>
    </w:p>
    <w:p w14:paraId="5899D23F" w14:textId="77777777" w:rsidR="00494A79" w:rsidRDefault="00494A79" w:rsidP="00494A79">
      <w:pPr>
        <w:pStyle w:val="ListParagraph"/>
        <w:numPr>
          <w:ilvl w:val="0"/>
          <w:numId w:val="1"/>
        </w:numPr>
        <w:spacing w:line="360" w:lineRule="auto"/>
        <w:ind w:left="0" w:hanging="284"/>
        <w:jc w:val="both"/>
        <w:rPr>
          <w:rFonts w:ascii="Rockwell" w:hAnsi="Rockwell"/>
          <w:sz w:val="28"/>
          <w:szCs w:val="28"/>
          <w:lang w:val="en-US"/>
        </w:rPr>
      </w:pPr>
      <w:r>
        <w:rPr>
          <w:rFonts w:ascii="Rockwell" w:hAnsi="Rockwell"/>
          <w:sz w:val="28"/>
          <w:szCs w:val="28"/>
          <w:lang w:val="en-US"/>
        </w:rPr>
        <w:t>I</w:t>
      </w:r>
      <w:r w:rsidR="00D07EF4" w:rsidRPr="00494A79">
        <w:rPr>
          <w:rFonts w:ascii="Rockwell" w:hAnsi="Rockwell"/>
          <w:sz w:val="28"/>
          <w:szCs w:val="28"/>
          <w:lang w:val="en-US"/>
        </w:rPr>
        <w:t>n opposition of t</w:t>
      </w:r>
      <w:r w:rsidR="000801D6" w:rsidRPr="00494A79">
        <w:rPr>
          <w:rFonts w:ascii="Rockwell" w:hAnsi="Rockwell"/>
          <w:sz w:val="28"/>
          <w:szCs w:val="28"/>
          <w:lang w:val="en-US"/>
        </w:rPr>
        <w:t>he 1</w:t>
      </w:r>
      <w:r w:rsidR="000801D6" w:rsidRPr="00494A79">
        <w:rPr>
          <w:rFonts w:ascii="Rockwell" w:hAnsi="Rockwell"/>
          <w:sz w:val="28"/>
          <w:szCs w:val="28"/>
          <w:vertAlign w:val="superscript"/>
          <w:lang w:val="en-US"/>
        </w:rPr>
        <w:t>st</w:t>
      </w:r>
      <w:r w:rsidR="000801D6" w:rsidRPr="00494A79">
        <w:rPr>
          <w:rFonts w:ascii="Rockwell" w:hAnsi="Rockwell"/>
          <w:sz w:val="28"/>
          <w:szCs w:val="28"/>
          <w:lang w:val="en-US"/>
        </w:rPr>
        <w:t xml:space="preserve"> Defendant/Respondent filed a Replying Affidavit deposed by Kenneth Likara, head Counsel- Litigation </w:t>
      </w:r>
      <w:r w:rsidR="00D07EF4" w:rsidRPr="00494A79">
        <w:rPr>
          <w:rFonts w:ascii="Rockwell" w:hAnsi="Rockwell"/>
          <w:sz w:val="28"/>
          <w:szCs w:val="28"/>
          <w:lang w:val="en-US"/>
        </w:rPr>
        <w:t xml:space="preserve">on </w:t>
      </w:r>
      <w:r w:rsidR="000801D6" w:rsidRPr="00494A79">
        <w:rPr>
          <w:rFonts w:ascii="Rockwell" w:hAnsi="Rockwell"/>
          <w:sz w:val="28"/>
          <w:szCs w:val="28"/>
          <w:lang w:val="en-US"/>
        </w:rPr>
        <w:t>23/04/2025</w:t>
      </w:r>
      <w:r w:rsidR="00D07EF4" w:rsidRPr="00494A79">
        <w:rPr>
          <w:rFonts w:ascii="Rockwell" w:hAnsi="Rockwell"/>
          <w:sz w:val="28"/>
          <w:szCs w:val="28"/>
          <w:lang w:val="en-US"/>
        </w:rPr>
        <w:t xml:space="preserve"> wherein</w:t>
      </w:r>
      <w:r w:rsidR="000801D6" w:rsidRPr="00494A79">
        <w:rPr>
          <w:rFonts w:ascii="Rockwell" w:hAnsi="Rockwell"/>
          <w:sz w:val="28"/>
          <w:szCs w:val="28"/>
          <w:lang w:val="en-US"/>
        </w:rPr>
        <w:t xml:space="preserve"> It was deposed that the Lower court has pecuniary jurisdiction over this dispute</w:t>
      </w:r>
      <w:r w:rsidR="00186A38" w:rsidRPr="00494A79">
        <w:rPr>
          <w:rFonts w:ascii="Rockwell" w:hAnsi="Rockwell"/>
          <w:sz w:val="28"/>
          <w:szCs w:val="28"/>
          <w:lang w:val="en-US"/>
        </w:rPr>
        <w:t xml:space="preserve"> whose subject matter was valued at Kshs 9,000,000 and he was aware th</w:t>
      </w:r>
      <w:r>
        <w:rPr>
          <w:rFonts w:ascii="Rockwell" w:hAnsi="Rockwell"/>
          <w:sz w:val="28"/>
          <w:szCs w:val="28"/>
          <w:lang w:val="en-US"/>
        </w:rPr>
        <w:t xml:space="preserve">at the Applicant had abandoned </w:t>
      </w:r>
      <w:r w:rsidR="00186A38" w:rsidRPr="00494A79">
        <w:rPr>
          <w:rFonts w:ascii="Rockwell" w:hAnsi="Rockwell"/>
          <w:sz w:val="28"/>
          <w:szCs w:val="28"/>
          <w:lang w:val="en-US"/>
        </w:rPr>
        <w:t>and/or unprosecuted the application dated 25/04/2024. The 1</w:t>
      </w:r>
      <w:r w:rsidR="00186A38" w:rsidRPr="00494A79">
        <w:rPr>
          <w:rFonts w:ascii="Rockwell" w:hAnsi="Rockwell"/>
          <w:sz w:val="28"/>
          <w:szCs w:val="28"/>
          <w:vertAlign w:val="superscript"/>
          <w:lang w:val="en-US"/>
        </w:rPr>
        <w:t>st</w:t>
      </w:r>
      <w:r w:rsidR="00186A38" w:rsidRPr="00494A79">
        <w:rPr>
          <w:rFonts w:ascii="Rockwell" w:hAnsi="Rockwell"/>
          <w:sz w:val="28"/>
          <w:szCs w:val="28"/>
          <w:lang w:val="en-US"/>
        </w:rPr>
        <w:t xml:space="preserve"> Respondent stated that</w:t>
      </w:r>
      <w:r w:rsidR="00186A38" w:rsidRPr="00494A79">
        <w:rPr>
          <w:rFonts w:ascii="Rockwell" w:hAnsi="Rockwell"/>
          <w:sz w:val="28"/>
          <w:szCs w:val="28"/>
        </w:rPr>
        <w:t xml:space="preserve"> on 13</w:t>
      </w:r>
      <w:r w:rsidR="00186A38" w:rsidRPr="00494A79">
        <w:rPr>
          <w:rFonts w:ascii="Rockwell" w:hAnsi="Rockwell"/>
          <w:sz w:val="28"/>
          <w:szCs w:val="28"/>
          <w:lang w:val="en-US"/>
        </w:rPr>
        <w:t>/05/</w:t>
      </w:r>
      <w:r w:rsidR="00186A38" w:rsidRPr="00494A79">
        <w:rPr>
          <w:rFonts w:ascii="Rockwell" w:hAnsi="Rockwell"/>
          <w:sz w:val="28"/>
          <w:szCs w:val="28"/>
        </w:rPr>
        <w:t xml:space="preserve">2024 this Court struck off this suit for being subjudice to Chief Magistrates </w:t>
      </w:r>
      <w:r w:rsidR="00186A38" w:rsidRPr="00494A79">
        <w:rPr>
          <w:rFonts w:ascii="Rockwell" w:hAnsi="Rockwell"/>
          <w:b/>
          <w:bCs/>
          <w:i/>
          <w:iCs/>
          <w:sz w:val="28"/>
          <w:szCs w:val="28"/>
        </w:rPr>
        <w:t xml:space="preserve">Court Civil Suit No. 4813 of 2018: Osnett Investments Limited versus Shadow Soft Limited, Dennis Wendoh &amp; KCB </w:t>
      </w:r>
      <w:r w:rsidR="00186A38" w:rsidRPr="00494A79">
        <w:rPr>
          <w:rFonts w:ascii="Rockwell" w:hAnsi="Rockwell"/>
          <w:sz w:val="28"/>
          <w:szCs w:val="28"/>
        </w:rPr>
        <w:t>and marked this file as</w:t>
      </w:r>
      <w:r w:rsidR="00186A38" w:rsidRPr="00494A79">
        <w:rPr>
          <w:rFonts w:ascii="Rockwell" w:hAnsi="Rockwell"/>
          <w:sz w:val="28"/>
          <w:szCs w:val="28"/>
          <w:lang w:val="en-US"/>
        </w:rPr>
        <w:t xml:space="preserve"> closed. It was contended that the application was mischievous and manifest of concealment of facts for reasons that; there was no evidence of the alleged repossession, </w:t>
      </w:r>
      <w:r w:rsidR="00887F10" w:rsidRPr="00494A79">
        <w:rPr>
          <w:rFonts w:ascii="Rockwell" w:hAnsi="Rockwell"/>
          <w:sz w:val="28"/>
          <w:szCs w:val="28"/>
          <w:lang w:val="en-US"/>
        </w:rPr>
        <w:t>the security</w:t>
      </w:r>
      <w:r w:rsidRPr="00494A79">
        <w:rPr>
          <w:rFonts w:ascii="Rockwell" w:hAnsi="Rockwell"/>
          <w:sz w:val="28"/>
          <w:szCs w:val="28"/>
          <w:lang w:val="en-US"/>
        </w:rPr>
        <w:t>, motor</w:t>
      </w:r>
      <w:r w:rsidR="00887F10" w:rsidRPr="00494A79">
        <w:rPr>
          <w:rFonts w:ascii="Rockwell" w:hAnsi="Rockwell"/>
          <w:sz w:val="28"/>
          <w:szCs w:val="28"/>
          <w:lang w:val="en-US"/>
        </w:rPr>
        <w:t xml:space="preserve"> vehicle registration number KCD 161Z</w:t>
      </w:r>
      <w:r w:rsidRPr="00494A79">
        <w:rPr>
          <w:rFonts w:ascii="Rockwell" w:hAnsi="Rockwell"/>
          <w:sz w:val="28"/>
          <w:szCs w:val="28"/>
          <w:lang w:val="en-US"/>
        </w:rPr>
        <w:t>, was</w:t>
      </w:r>
      <w:r w:rsidR="00887F10" w:rsidRPr="00494A79">
        <w:rPr>
          <w:rFonts w:ascii="Rockwell" w:hAnsi="Rockwell"/>
          <w:sz w:val="28"/>
          <w:szCs w:val="28"/>
          <w:lang w:val="en-US"/>
        </w:rPr>
        <w:t xml:space="preserve"> jointly registered in the names of the Applicant and the 1</w:t>
      </w:r>
      <w:r w:rsidR="00887F10" w:rsidRPr="00494A79">
        <w:rPr>
          <w:rFonts w:ascii="Rockwell" w:hAnsi="Rockwell"/>
          <w:sz w:val="28"/>
          <w:szCs w:val="28"/>
          <w:vertAlign w:val="superscript"/>
          <w:lang w:val="en-US"/>
        </w:rPr>
        <w:t>st</w:t>
      </w:r>
      <w:r w:rsidR="00887F10" w:rsidRPr="00494A79">
        <w:rPr>
          <w:rFonts w:ascii="Rockwell" w:hAnsi="Rockwell"/>
          <w:sz w:val="28"/>
          <w:szCs w:val="28"/>
          <w:lang w:val="en-US"/>
        </w:rPr>
        <w:t xml:space="preserve"> Respondent, the </w:t>
      </w:r>
      <w:r w:rsidR="00887F10" w:rsidRPr="00494A79">
        <w:rPr>
          <w:rFonts w:ascii="Rockwell" w:hAnsi="Rockwell"/>
          <w:sz w:val="28"/>
          <w:szCs w:val="28"/>
          <w:lang w:val="en-US"/>
        </w:rPr>
        <w:lastRenderedPageBreak/>
        <w:t xml:space="preserve">Applicant sold the subject Motor vehicle to third parties without informing them as can be seen from the lower court proceedings and the third parties took possession of the motor vehicle. </w:t>
      </w:r>
    </w:p>
    <w:p w14:paraId="0F1C001C" w14:textId="77777777" w:rsidR="00494A79" w:rsidRDefault="00494A79" w:rsidP="00494A79">
      <w:pPr>
        <w:pStyle w:val="ListParagraph"/>
        <w:spacing w:line="360" w:lineRule="auto"/>
        <w:ind w:left="0"/>
        <w:jc w:val="both"/>
        <w:rPr>
          <w:rFonts w:ascii="Rockwell" w:hAnsi="Rockwell"/>
          <w:sz w:val="28"/>
          <w:szCs w:val="28"/>
          <w:lang w:val="en-US"/>
        </w:rPr>
      </w:pPr>
    </w:p>
    <w:p w14:paraId="323F7D22" w14:textId="77777777" w:rsidR="00494A79" w:rsidRDefault="00887F10" w:rsidP="00494A79">
      <w:pPr>
        <w:pStyle w:val="ListParagraph"/>
        <w:numPr>
          <w:ilvl w:val="0"/>
          <w:numId w:val="1"/>
        </w:numPr>
        <w:spacing w:line="360" w:lineRule="auto"/>
        <w:ind w:left="0" w:hanging="284"/>
        <w:jc w:val="both"/>
        <w:rPr>
          <w:rFonts w:ascii="Rockwell" w:hAnsi="Rockwell"/>
          <w:sz w:val="28"/>
          <w:szCs w:val="28"/>
          <w:lang w:val="en-US"/>
        </w:rPr>
      </w:pPr>
      <w:r w:rsidRPr="00494A79">
        <w:rPr>
          <w:rFonts w:ascii="Rockwell" w:hAnsi="Rockwell"/>
          <w:sz w:val="28"/>
          <w:szCs w:val="28"/>
          <w:lang w:val="en-US"/>
        </w:rPr>
        <w:t xml:space="preserve">That the </w:t>
      </w:r>
      <w:r w:rsidR="00F4799E" w:rsidRPr="00494A79">
        <w:rPr>
          <w:rFonts w:ascii="Rockwell" w:hAnsi="Rockwell"/>
          <w:sz w:val="28"/>
          <w:szCs w:val="28"/>
          <w:lang w:val="en-US"/>
        </w:rPr>
        <w:t>A</w:t>
      </w:r>
      <w:r w:rsidRPr="00494A79">
        <w:rPr>
          <w:rFonts w:ascii="Rockwell" w:hAnsi="Rockwell"/>
          <w:sz w:val="28"/>
          <w:szCs w:val="28"/>
        </w:rPr>
        <w:t xml:space="preserve">pplicant thereafter fell into arrears in servicing its loan with the 1st Respondent bank which loan currently stands at Kshs. 3,950,700.48/= and continues to accrue interests at contractual rates. </w:t>
      </w:r>
      <w:r w:rsidRPr="00494A79">
        <w:rPr>
          <w:rFonts w:ascii="Rockwell" w:hAnsi="Rockwell"/>
          <w:sz w:val="28"/>
          <w:szCs w:val="28"/>
          <w:lang w:val="en-US"/>
        </w:rPr>
        <w:t>He confirmed that</w:t>
      </w:r>
      <w:r w:rsidRPr="00494A79">
        <w:rPr>
          <w:rFonts w:ascii="Rockwell" w:hAnsi="Rockwell"/>
          <w:sz w:val="28"/>
          <w:szCs w:val="28"/>
        </w:rPr>
        <w:t xml:space="preserve"> the said loan was written off as of 19</w:t>
      </w:r>
      <w:r w:rsidRPr="00494A79">
        <w:rPr>
          <w:rFonts w:ascii="Rockwell" w:hAnsi="Rockwell"/>
          <w:sz w:val="28"/>
          <w:szCs w:val="28"/>
          <w:lang w:val="en-US"/>
        </w:rPr>
        <w:t xml:space="preserve">/09/ </w:t>
      </w:r>
      <w:r w:rsidRPr="00494A79">
        <w:rPr>
          <w:rFonts w:ascii="Rockwell" w:hAnsi="Rockwell"/>
          <w:sz w:val="28"/>
          <w:szCs w:val="28"/>
        </w:rPr>
        <w:t>2022 when it was no longer profitable for the bank to pursue recovery efforts.</w:t>
      </w:r>
      <w:r w:rsidR="00F4799E" w:rsidRPr="00494A79">
        <w:rPr>
          <w:rFonts w:ascii="Rockwell" w:hAnsi="Rockwell"/>
          <w:sz w:val="28"/>
          <w:szCs w:val="28"/>
          <w:lang w:val="en-US"/>
        </w:rPr>
        <w:t xml:space="preserve"> </w:t>
      </w:r>
      <w:r w:rsidRPr="00494A79">
        <w:rPr>
          <w:rFonts w:ascii="Rockwell" w:hAnsi="Rockwell"/>
          <w:sz w:val="28"/>
          <w:szCs w:val="28"/>
          <w:lang w:val="en-US"/>
        </w:rPr>
        <w:t xml:space="preserve">It was deposed that </w:t>
      </w:r>
      <w:r w:rsidRPr="00494A79">
        <w:rPr>
          <w:rFonts w:ascii="Rockwell" w:hAnsi="Rockwell"/>
          <w:sz w:val="28"/>
          <w:szCs w:val="28"/>
        </w:rPr>
        <w:t>that the 1</w:t>
      </w:r>
      <w:r w:rsidRPr="00494A79">
        <w:rPr>
          <w:rFonts w:ascii="Rockwell" w:hAnsi="Rockwell"/>
          <w:sz w:val="28"/>
          <w:szCs w:val="28"/>
          <w:vertAlign w:val="superscript"/>
        </w:rPr>
        <w:t>st</w:t>
      </w:r>
      <w:r w:rsidRPr="00494A79">
        <w:rPr>
          <w:rFonts w:ascii="Rockwell" w:hAnsi="Rockwell"/>
          <w:sz w:val="28"/>
          <w:szCs w:val="28"/>
          <w:lang w:val="en-US"/>
        </w:rPr>
        <w:t xml:space="preserve"> </w:t>
      </w:r>
      <w:r w:rsidRPr="00494A79">
        <w:rPr>
          <w:rFonts w:ascii="Rockwell" w:hAnsi="Rockwell"/>
          <w:sz w:val="28"/>
          <w:szCs w:val="28"/>
        </w:rPr>
        <w:t>Respondent will be heavily prejudiced should the Court be inclined to grant audience to the Plaintiff/Applicant who is clearly attempting to sanitize its unlawful dealings uncovered by the Lower Court which Court has jurisdiction to entertain this dispute</w:t>
      </w:r>
      <w:r w:rsidRPr="00494A79">
        <w:rPr>
          <w:rFonts w:ascii="Rockwell" w:hAnsi="Rockwell"/>
          <w:sz w:val="28"/>
          <w:szCs w:val="28"/>
          <w:lang w:val="en-US"/>
        </w:rPr>
        <w:t>. The court was urged to dismiss the application.</w:t>
      </w:r>
    </w:p>
    <w:p w14:paraId="31A9ECD6" w14:textId="77777777" w:rsidR="00494A79" w:rsidRPr="00494A79" w:rsidRDefault="00494A79" w:rsidP="00494A79">
      <w:pPr>
        <w:pStyle w:val="ListParagraph"/>
        <w:rPr>
          <w:rFonts w:ascii="Rockwell" w:hAnsi="Rockwell"/>
          <w:sz w:val="28"/>
          <w:szCs w:val="28"/>
          <w:lang w:val="en-US"/>
        </w:rPr>
      </w:pPr>
    </w:p>
    <w:p w14:paraId="1F88A985" w14:textId="77777777" w:rsidR="00494A79" w:rsidRDefault="00887F10" w:rsidP="00494A79">
      <w:pPr>
        <w:pStyle w:val="ListParagraph"/>
        <w:numPr>
          <w:ilvl w:val="0"/>
          <w:numId w:val="1"/>
        </w:numPr>
        <w:spacing w:line="360" w:lineRule="auto"/>
        <w:ind w:left="0" w:hanging="284"/>
        <w:jc w:val="both"/>
        <w:rPr>
          <w:rFonts w:ascii="Rockwell" w:hAnsi="Rockwell"/>
          <w:sz w:val="28"/>
          <w:szCs w:val="28"/>
          <w:lang w:val="en-US"/>
        </w:rPr>
      </w:pPr>
      <w:r w:rsidRPr="00494A79">
        <w:rPr>
          <w:rFonts w:ascii="Rockwell" w:hAnsi="Rockwell"/>
          <w:sz w:val="28"/>
          <w:szCs w:val="28"/>
          <w:lang w:val="en-US"/>
        </w:rPr>
        <w:t xml:space="preserve">The Application was canvassed by way of written submissions. As at the time of writing this ruling, only the Respondent had filed submissions on 26/05/2025. </w:t>
      </w:r>
    </w:p>
    <w:p w14:paraId="0C48280F" w14:textId="77777777" w:rsidR="00494A79" w:rsidRPr="00494A79" w:rsidRDefault="00494A79" w:rsidP="00494A79">
      <w:pPr>
        <w:pStyle w:val="ListParagraph"/>
        <w:rPr>
          <w:rFonts w:ascii="Rockwell" w:hAnsi="Rockwell"/>
          <w:sz w:val="28"/>
          <w:szCs w:val="28"/>
          <w:lang w:val="en-US"/>
        </w:rPr>
      </w:pPr>
    </w:p>
    <w:p w14:paraId="00E4C2AC" w14:textId="77777777" w:rsidR="00494A79" w:rsidRDefault="00887F10" w:rsidP="00494A79">
      <w:pPr>
        <w:pStyle w:val="ListParagraph"/>
        <w:numPr>
          <w:ilvl w:val="0"/>
          <w:numId w:val="1"/>
        </w:numPr>
        <w:spacing w:line="360" w:lineRule="auto"/>
        <w:ind w:left="0" w:hanging="284"/>
        <w:jc w:val="both"/>
        <w:rPr>
          <w:rFonts w:ascii="Rockwell" w:hAnsi="Rockwell"/>
          <w:sz w:val="28"/>
          <w:szCs w:val="28"/>
          <w:lang w:val="en-US"/>
        </w:rPr>
      </w:pPr>
      <w:r w:rsidRPr="00494A79">
        <w:rPr>
          <w:rFonts w:ascii="Rockwell" w:hAnsi="Rockwell"/>
          <w:sz w:val="28"/>
          <w:szCs w:val="28"/>
          <w:lang w:val="en-US"/>
        </w:rPr>
        <w:t>The Respondent raised three issues. First, it was submitted that</w:t>
      </w:r>
      <w:r w:rsidR="00F4799E" w:rsidRPr="00494A79">
        <w:rPr>
          <w:rFonts w:ascii="Rockwell" w:hAnsi="Rockwell"/>
          <w:sz w:val="28"/>
          <w:szCs w:val="28"/>
          <w:lang w:val="en-US"/>
        </w:rPr>
        <w:t xml:space="preserve"> the Application is manifest of gross distortion and concealment of material facts. He reiterated the contents of its replying affidavit and placed reliance on the case of </w:t>
      </w:r>
      <w:r w:rsidR="00F4799E" w:rsidRPr="00494A79">
        <w:rPr>
          <w:rFonts w:ascii="Rockwell" w:hAnsi="Rockwell"/>
          <w:b/>
          <w:bCs/>
          <w:sz w:val="28"/>
          <w:szCs w:val="28"/>
        </w:rPr>
        <w:t>Absa Bank Kenya PLC v Atieno (Civil Appeal E073 of 2022) [2023] KEHC 26633 (KLR</w:t>
      </w:r>
      <w:r w:rsidR="00F4799E" w:rsidRPr="00494A79">
        <w:rPr>
          <w:rFonts w:ascii="Rockwell" w:hAnsi="Rockwell"/>
          <w:sz w:val="28"/>
          <w:szCs w:val="28"/>
        </w:rPr>
        <w:t>)</w:t>
      </w:r>
      <w:r w:rsidR="00F4799E" w:rsidRPr="00494A79">
        <w:rPr>
          <w:rFonts w:ascii="Rockwell" w:hAnsi="Rockwell"/>
          <w:sz w:val="28"/>
          <w:szCs w:val="28"/>
          <w:lang w:val="en-US"/>
        </w:rPr>
        <w:t xml:space="preserve">. </w:t>
      </w:r>
    </w:p>
    <w:p w14:paraId="03E0CB92" w14:textId="77777777" w:rsidR="00494A79" w:rsidRPr="00494A79" w:rsidRDefault="00494A79" w:rsidP="00494A79">
      <w:pPr>
        <w:pStyle w:val="ListParagraph"/>
        <w:rPr>
          <w:rFonts w:ascii="Rockwell" w:hAnsi="Rockwell"/>
          <w:sz w:val="28"/>
          <w:szCs w:val="28"/>
          <w:lang w:val="en-US"/>
        </w:rPr>
      </w:pPr>
    </w:p>
    <w:p w14:paraId="47F9E5DE" w14:textId="77777777" w:rsidR="00494A79" w:rsidRPr="00494A79" w:rsidRDefault="00F4799E" w:rsidP="00494A79">
      <w:pPr>
        <w:pStyle w:val="ListParagraph"/>
        <w:numPr>
          <w:ilvl w:val="0"/>
          <w:numId w:val="1"/>
        </w:numPr>
        <w:spacing w:line="360" w:lineRule="auto"/>
        <w:ind w:left="0" w:hanging="284"/>
        <w:jc w:val="both"/>
        <w:rPr>
          <w:rFonts w:ascii="Rockwell" w:hAnsi="Rockwell"/>
          <w:sz w:val="28"/>
          <w:szCs w:val="28"/>
          <w:lang w:val="en-US"/>
        </w:rPr>
      </w:pPr>
      <w:r w:rsidRPr="00494A79">
        <w:rPr>
          <w:rFonts w:ascii="Rockwell" w:hAnsi="Rockwell"/>
          <w:sz w:val="28"/>
          <w:szCs w:val="28"/>
          <w:lang w:val="en-US"/>
        </w:rPr>
        <w:t xml:space="preserve">Secondly, the Applicant submitted that this court is not </w:t>
      </w:r>
      <w:r w:rsidRPr="00494A79">
        <w:rPr>
          <w:rFonts w:ascii="Rockwell" w:hAnsi="Rockwell"/>
          <w:sz w:val="28"/>
          <w:szCs w:val="28"/>
        </w:rPr>
        <w:t>the proper forum for this suit and thus ought to grant the orders sought by the Plaintiff/Applicant</w:t>
      </w:r>
      <w:r w:rsidRPr="00494A79">
        <w:rPr>
          <w:rFonts w:ascii="Rockwell" w:hAnsi="Rockwell"/>
          <w:sz w:val="28"/>
          <w:szCs w:val="28"/>
          <w:lang w:val="en-US"/>
        </w:rPr>
        <w:t>.</w:t>
      </w:r>
      <w:r w:rsidRPr="00F4799E">
        <w:t xml:space="preserve"> </w:t>
      </w:r>
      <w:r w:rsidRPr="00494A79">
        <w:rPr>
          <w:rFonts w:ascii="Rockwell" w:hAnsi="Rockwell"/>
          <w:sz w:val="28"/>
          <w:szCs w:val="28"/>
          <w:lang w:val="en-US"/>
        </w:rPr>
        <w:t xml:space="preserve">It was </w:t>
      </w:r>
      <w:r w:rsidRPr="00494A79">
        <w:rPr>
          <w:rFonts w:ascii="Rockwell" w:hAnsi="Rockwell"/>
          <w:sz w:val="28"/>
          <w:szCs w:val="28"/>
        </w:rPr>
        <w:t>submit</w:t>
      </w:r>
      <w:r w:rsidRPr="00494A79">
        <w:rPr>
          <w:rFonts w:ascii="Rockwell" w:hAnsi="Rockwell"/>
          <w:sz w:val="28"/>
          <w:szCs w:val="28"/>
          <w:lang w:val="en-US"/>
        </w:rPr>
        <w:t>ted</w:t>
      </w:r>
      <w:r w:rsidRPr="00494A79">
        <w:rPr>
          <w:rFonts w:ascii="Rockwell" w:hAnsi="Rockwell"/>
          <w:sz w:val="28"/>
          <w:szCs w:val="28"/>
        </w:rPr>
        <w:t xml:space="preserve"> that th</w:t>
      </w:r>
      <w:r w:rsidRPr="00494A79">
        <w:rPr>
          <w:rFonts w:ascii="Rockwell" w:hAnsi="Rockwell"/>
          <w:sz w:val="28"/>
          <w:szCs w:val="28"/>
          <w:lang w:val="en-US"/>
        </w:rPr>
        <w:t>e</w:t>
      </w:r>
      <w:r w:rsidRPr="00494A79">
        <w:rPr>
          <w:rFonts w:ascii="Rockwell" w:hAnsi="Rockwell"/>
          <w:sz w:val="28"/>
          <w:szCs w:val="28"/>
        </w:rPr>
        <w:t xml:space="preserve"> current application seeking to reinstate this suit in the High Court is an after-thought and </w:t>
      </w:r>
      <w:r w:rsidRPr="00494A79">
        <w:rPr>
          <w:rFonts w:ascii="Rockwell" w:hAnsi="Rockwell"/>
          <w:sz w:val="28"/>
          <w:szCs w:val="28"/>
        </w:rPr>
        <w:lastRenderedPageBreak/>
        <w:t xml:space="preserve">clearly mischievous and hence ought to be </w:t>
      </w:r>
      <w:r w:rsidR="003221B4" w:rsidRPr="00494A79">
        <w:rPr>
          <w:rFonts w:ascii="Rockwell" w:hAnsi="Rockwell"/>
          <w:sz w:val="28"/>
          <w:szCs w:val="28"/>
        </w:rPr>
        <w:t>disallowe</w:t>
      </w:r>
      <w:r w:rsidRPr="00494A79">
        <w:rPr>
          <w:rFonts w:ascii="Rockwell" w:hAnsi="Rockwell"/>
          <w:sz w:val="28"/>
          <w:szCs w:val="28"/>
          <w:lang w:val="en-US"/>
        </w:rPr>
        <w:t>d. T</w:t>
      </w:r>
      <w:r w:rsidRPr="00494A79">
        <w:rPr>
          <w:rFonts w:ascii="Rockwell" w:hAnsi="Rockwell"/>
          <w:sz w:val="28"/>
          <w:szCs w:val="28"/>
        </w:rPr>
        <w:t xml:space="preserve">hat the Plaintiff has not sufficiently demonstrated the inadvertence </w:t>
      </w:r>
      <w:r w:rsidRPr="00494A79">
        <w:rPr>
          <w:rFonts w:ascii="Rockwell" w:hAnsi="Rockwell"/>
          <w:sz w:val="28"/>
          <w:szCs w:val="28"/>
          <w:lang w:val="en-US"/>
        </w:rPr>
        <w:t>er</w:t>
      </w:r>
      <w:r w:rsidRPr="00494A79">
        <w:rPr>
          <w:rFonts w:ascii="Rockwell" w:hAnsi="Rockwell"/>
          <w:sz w:val="28"/>
          <w:szCs w:val="28"/>
        </w:rPr>
        <w:t xml:space="preserve">ror excusable mistake/error. It is clear beyond peradventure that this suit is deliberately filed in order to frustrate the bank from recovery justice. </w:t>
      </w:r>
      <w:r w:rsidRPr="00494A79">
        <w:rPr>
          <w:rFonts w:ascii="Rockwell" w:hAnsi="Rockwell"/>
          <w:sz w:val="28"/>
          <w:szCs w:val="28"/>
          <w:lang w:val="en-US"/>
        </w:rPr>
        <w:t xml:space="preserve">Further, that </w:t>
      </w:r>
      <w:r w:rsidRPr="00494A79">
        <w:rPr>
          <w:rFonts w:ascii="Rockwell" w:hAnsi="Rockwell"/>
          <w:sz w:val="28"/>
          <w:szCs w:val="28"/>
        </w:rPr>
        <w:t xml:space="preserve">the orders sought by the Plaintiff/Applicant are irregular since the ruling averred to in the Application is non-existent and therefore incapable of enforcement. </w:t>
      </w:r>
      <w:r w:rsidRPr="00494A79">
        <w:rPr>
          <w:rFonts w:ascii="Rockwell" w:hAnsi="Rockwell"/>
          <w:sz w:val="28"/>
          <w:szCs w:val="28"/>
          <w:lang w:val="en-US"/>
        </w:rPr>
        <w:t>In support of the issue of discretion of the court to grant such orders, reliance was placed on the case of</w:t>
      </w:r>
      <w:r w:rsidRPr="00494A79">
        <w:rPr>
          <w:rFonts w:ascii="Rockwell" w:hAnsi="Rockwell"/>
          <w:sz w:val="28"/>
          <w:szCs w:val="28"/>
        </w:rPr>
        <w:t xml:space="preserve"> </w:t>
      </w:r>
      <w:r w:rsidRPr="00494A79">
        <w:rPr>
          <w:rFonts w:ascii="Rockwell" w:hAnsi="Rockwell"/>
          <w:b/>
          <w:bCs/>
          <w:sz w:val="28"/>
          <w:szCs w:val="28"/>
        </w:rPr>
        <w:t>Bilha Ngonyo Isaac vs. Kembu Farm Ltd &amp; another &amp; another [2018] eKLR</w:t>
      </w:r>
      <w:r w:rsidR="00494A79">
        <w:rPr>
          <w:rFonts w:ascii="Rockwell" w:hAnsi="Rockwell"/>
          <w:b/>
          <w:bCs/>
          <w:sz w:val="28"/>
          <w:szCs w:val="28"/>
          <w:lang w:val="en-US"/>
        </w:rPr>
        <w:t>.</w:t>
      </w:r>
    </w:p>
    <w:p w14:paraId="2EC589A7" w14:textId="77777777" w:rsidR="00494A79" w:rsidRPr="00494A79" w:rsidRDefault="00494A79" w:rsidP="00494A79">
      <w:pPr>
        <w:pStyle w:val="ListParagraph"/>
        <w:rPr>
          <w:rFonts w:ascii="Rockwell" w:hAnsi="Rockwell"/>
          <w:sz w:val="28"/>
          <w:szCs w:val="28"/>
          <w:lang w:val="en-US"/>
        </w:rPr>
      </w:pPr>
    </w:p>
    <w:p w14:paraId="2F761982" w14:textId="58F449F1" w:rsidR="00F4799E" w:rsidRPr="00494A79" w:rsidRDefault="00F4799E" w:rsidP="00494A79">
      <w:pPr>
        <w:pStyle w:val="ListParagraph"/>
        <w:numPr>
          <w:ilvl w:val="0"/>
          <w:numId w:val="1"/>
        </w:numPr>
        <w:spacing w:line="360" w:lineRule="auto"/>
        <w:ind w:left="0" w:hanging="284"/>
        <w:jc w:val="both"/>
        <w:rPr>
          <w:rFonts w:ascii="Rockwell" w:hAnsi="Rockwell"/>
          <w:sz w:val="28"/>
          <w:szCs w:val="28"/>
          <w:lang w:val="en-US"/>
        </w:rPr>
      </w:pPr>
      <w:r w:rsidRPr="00494A79">
        <w:rPr>
          <w:rFonts w:ascii="Rockwell" w:hAnsi="Rockwell"/>
          <w:sz w:val="28"/>
          <w:szCs w:val="28"/>
          <w:lang w:val="en-US"/>
        </w:rPr>
        <w:t>Lastly, the 1</w:t>
      </w:r>
      <w:r w:rsidRPr="00494A79">
        <w:rPr>
          <w:rFonts w:ascii="Rockwell" w:hAnsi="Rockwell"/>
          <w:sz w:val="28"/>
          <w:szCs w:val="28"/>
          <w:vertAlign w:val="superscript"/>
          <w:lang w:val="en-US"/>
        </w:rPr>
        <w:t>st</w:t>
      </w:r>
      <w:r w:rsidRPr="00494A79">
        <w:rPr>
          <w:rFonts w:ascii="Rockwell" w:hAnsi="Rockwell"/>
          <w:sz w:val="28"/>
          <w:szCs w:val="28"/>
          <w:lang w:val="en-US"/>
        </w:rPr>
        <w:t xml:space="preserve"> Respondent prayed that he be awarded the costs of the application</w:t>
      </w:r>
      <w:r w:rsidR="00806C6E" w:rsidRPr="00494A79">
        <w:rPr>
          <w:rFonts w:ascii="Rockwell" w:hAnsi="Rockwell"/>
          <w:sz w:val="28"/>
          <w:szCs w:val="28"/>
          <w:lang w:val="en-US"/>
        </w:rPr>
        <w:t>.</w:t>
      </w:r>
    </w:p>
    <w:p w14:paraId="4C4F24A7" w14:textId="1973061C" w:rsidR="00806C6E" w:rsidRPr="00494A79" w:rsidRDefault="00806C6E" w:rsidP="00494A79">
      <w:pPr>
        <w:spacing w:line="360" w:lineRule="auto"/>
        <w:jc w:val="both"/>
        <w:rPr>
          <w:rFonts w:ascii="Rockwell" w:hAnsi="Rockwell"/>
          <w:b/>
          <w:bCs/>
          <w:sz w:val="28"/>
          <w:szCs w:val="28"/>
          <w:u w:val="single"/>
          <w:lang w:val="en-US"/>
        </w:rPr>
      </w:pPr>
      <w:r w:rsidRPr="00494A79">
        <w:rPr>
          <w:rFonts w:ascii="Rockwell" w:hAnsi="Rockwell"/>
          <w:b/>
          <w:bCs/>
          <w:sz w:val="28"/>
          <w:szCs w:val="28"/>
          <w:u w:val="single"/>
          <w:lang w:val="en-US"/>
        </w:rPr>
        <w:t>Determination</w:t>
      </w:r>
    </w:p>
    <w:p w14:paraId="7D435E0D" w14:textId="77777777" w:rsidR="00494A79" w:rsidRPr="00494A79" w:rsidRDefault="009A4383" w:rsidP="00494A79">
      <w:pPr>
        <w:pStyle w:val="ListParagraph"/>
        <w:numPr>
          <w:ilvl w:val="0"/>
          <w:numId w:val="1"/>
        </w:numPr>
        <w:spacing w:line="360" w:lineRule="auto"/>
        <w:ind w:left="0"/>
        <w:jc w:val="both"/>
        <w:rPr>
          <w:rFonts w:ascii="Rockwell" w:hAnsi="Rockwell"/>
          <w:sz w:val="28"/>
          <w:szCs w:val="28"/>
          <w:lang w:val="en-US"/>
        </w:rPr>
      </w:pPr>
      <w:r>
        <w:rPr>
          <w:rFonts w:ascii="Rockwell" w:hAnsi="Rockwell"/>
          <w:sz w:val="28"/>
          <w:szCs w:val="28"/>
          <w:lang w:val="en-US"/>
        </w:rPr>
        <w:t xml:space="preserve"> Th</w:t>
      </w:r>
      <w:r w:rsidR="00806C6E">
        <w:rPr>
          <w:rFonts w:ascii="Rockwell" w:hAnsi="Rockwell"/>
          <w:sz w:val="28"/>
          <w:szCs w:val="28"/>
          <w:lang w:val="en-US"/>
        </w:rPr>
        <w:t>is</w:t>
      </w:r>
      <w:r>
        <w:rPr>
          <w:rFonts w:ascii="Rockwell" w:hAnsi="Rockwell"/>
          <w:sz w:val="28"/>
          <w:szCs w:val="28"/>
          <w:lang w:val="en-US"/>
        </w:rPr>
        <w:t xml:space="preserve"> court has considered the Application before it, the affidavits for and against it as well as the submissions of the parties and find that the issues for determination is </w:t>
      </w:r>
      <w:r w:rsidRPr="009A4383">
        <w:rPr>
          <w:rFonts w:ascii="Rockwell" w:hAnsi="Rockwell"/>
          <w:b/>
          <w:bCs/>
          <w:i/>
          <w:iCs/>
          <w:sz w:val="28"/>
          <w:szCs w:val="28"/>
          <w:lang w:val="en-US"/>
        </w:rPr>
        <w:t>Whether the</w:t>
      </w:r>
      <w:r w:rsidRPr="009A4383">
        <w:rPr>
          <w:rFonts w:ascii="Rockwell" w:hAnsi="Rockwell"/>
          <w:sz w:val="28"/>
          <w:szCs w:val="28"/>
          <w:lang w:val="en-US"/>
        </w:rPr>
        <w:t xml:space="preserve"> </w:t>
      </w:r>
      <w:r w:rsidRPr="009A4383">
        <w:rPr>
          <w:rFonts w:ascii="Rockwell" w:hAnsi="Rockwell"/>
          <w:b/>
          <w:bCs/>
          <w:i/>
          <w:iCs/>
          <w:sz w:val="28"/>
          <w:szCs w:val="28"/>
        </w:rPr>
        <w:t>the ruling entered against the plaintiff/applicant on 25th September 2025</w:t>
      </w:r>
      <w:r w:rsidRPr="009A4383">
        <w:rPr>
          <w:rFonts w:ascii="Rockwell" w:hAnsi="Rockwell"/>
          <w:b/>
          <w:bCs/>
          <w:i/>
          <w:iCs/>
          <w:sz w:val="28"/>
          <w:szCs w:val="28"/>
          <w:lang w:val="en-US"/>
        </w:rPr>
        <w:t xml:space="preserve"> should be set aside</w:t>
      </w:r>
      <w:r w:rsidR="00806C6E">
        <w:rPr>
          <w:rFonts w:ascii="Rockwell" w:hAnsi="Rockwell"/>
          <w:b/>
          <w:bCs/>
          <w:i/>
          <w:iCs/>
          <w:sz w:val="28"/>
          <w:szCs w:val="28"/>
          <w:lang w:val="en-US"/>
        </w:rPr>
        <w:t>.</w:t>
      </w:r>
      <w:bookmarkStart w:id="1" w:name="_Hlk211909685"/>
    </w:p>
    <w:p w14:paraId="5ECF7989" w14:textId="77777777" w:rsidR="00494A79" w:rsidRPr="00494A79" w:rsidRDefault="00494A79" w:rsidP="00494A79">
      <w:pPr>
        <w:pStyle w:val="ListParagraph"/>
        <w:spacing w:line="360" w:lineRule="auto"/>
        <w:ind w:left="0"/>
        <w:jc w:val="both"/>
        <w:rPr>
          <w:rFonts w:ascii="Rockwell" w:hAnsi="Rockwell"/>
          <w:sz w:val="28"/>
          <w:szCs w:val="28"/>
          <w:lang w:val="en-US"/>
        </w:rPr>
      </w:pPr>
    </w:p>
    <w:p w14:paraId="0AE24A85" w14:textId="1C7C121C" w:rsidR="00F147CC" w:rsidRPr="00494A79" w:rsidRDefault="00F147CC" w:rsidP="00494A79">
      <w:pPr>
        <w:pStyle w:val="ListParagraph"/>
        <w:numPr>
          <w:ilvl w:val="0"/>
          <w:numId w:val="1"/>
        </w:numPr>
        <w:spacing w:line="360" w:lineRule="auto"/>
        <w:ind w:left="0"/>
        <w:jc w:val="both"/>
        <w:rPr>
          <w:rFonts w:ascii="Rockwell" w:hAnsi="Rockwell"/>
          <w:sz w:val="28"/>
          <w:szCs w:val="28"/>
          <w:lang w:val="en-US"/>
        </w:rPr>
      </w:pPr>
      <w:r w:rsidRPr="00494A79">
        <w:rPr>
          <w:rFonts w:ascii="Rockwell" w:hAnsi="Rockwell"/>
          <w:sz w:val="28"/>
          <w:szCs w:val="28"/>
          <w:lang w:val="en-US"/>
        </w:rPr>
        <w:t xml:space="preserve">The </w:t>
      </w:r>
      <w:r w:rsidR="003221B4" w:rsidRPr="00494A79">
        <w:rPr>
          <w:rFonts w:ascii="Rockwell" w:hAnsi="Rockwell"/>
          <w:sz w:val="28"/>
          <w:szCs w:val="28"/>
          <w:lang w:val="en-US"/>
        </w:rPr>
        <w:t>C</w:t>
      </w:r>
      <w:r w:rsidRPr="00494A79">
        <w:rPr>
          <w:rFonts w:ascii="Rockwell" w:hAnsi="Rockwell"/>
          <w:sz w:val="28"/>
          <w:szCs w:val="28"/>
          <w:lang w:val="en-US"/>
        </w:rPr>
        <w:t xml:space="preserve">ourt of Appeal in the case of </w:t>
      </w:r>
      <w:r w:rsidR="00886EEC" w:rsidRPr="00494A79">
        <w:rPr>
          <w:rFonts w:ascii="Rockwell" w:hAnsi="Rockwell"/>
          <w:b/>
          <w:bCs/>
          <w:sz w:val="28"/>
          <w:szCs w:val="28"/>
        </w:rPr>
        <w:t xml:space="preserve">Pithon Waweru Maina V Thuka Mugiria </w:t>
      </w:r>
      <w:r w:rsidRPr="00494A79">
        <w:rPr>
          <w:rFonts w:ascii="Rockwell" w:hAnsi="Rockwell"/>
          <w:b/>
          <w:bCs/>
          <w:sz w:val="28"/>
          <w:szCs w:val="28"/>
        </w:rPr>
        <w:t>[1983] KECA 117 (KLR</w:t>
      </w:r>
      <w:r w:rsidRPr="00494A79">
        <w:rPr>
          <w:rFonts w:ascii="Rockwell" w:hAnsi="Rockwell"/>
          <w:sz w:val="28"/>
          <w:szCs w:val="28"/>
        </w:rPr>
        <w:t>)</w:t>
      </w:r>
      <w:r w:rsidRPr="00494A79">
        <w:rPr>
          <w:rFonts w:ascii="Rockwell" w:hAnsi="Rockwell"/>
          <w:sz w:val="28"/>
          <w:szCs w:val="28"/>
          <w:lang w:val="en-US"/>
        </w:rPr>
        <w:t xml:space="preserve"> rendered itself on the factors to be considered when setting aside and stated as follows;</w:t>
      </w:r>
    </w:p>
    <w:p w14:paraId="3CED7B83" w14:textId="77777777" w:rsidR="00F147CC" w:rsidRPr="00886EEC" w:rsidRDefault="00F147CC" w:rsidP="00494A79">
      <w:pPr>
        <w:spacing w:line="276" w:lineRule="auto"/>
        <w:ind w:left="1440"/>
        <w:jc w:val="both"/>
        <w:rPr>
          <w:rFonts w:ascii="Rockwell" w:hAnsi="Rockwell"/>
          <w:b/>
          <w:bCs/>
          <w:i/>
          <w:iCs/>
          <w:sz w:val="28"/>
          <w:szCs w:val="28"/>
        </w:rPr>
      </w:pPr>
      <w:r w:rsidRPr="00886EEC">
        <w:rPr>
          <w:rFonts w:ascii="Rockwell" w:hAnsi="Rockwell"/>
          <w:b/>
          <w:bCs/>
          <w:i/>
          <w:iCs/>
          <w:sz w:val="28"/>
          <w:szCs w:val="28"/>
          <w:lang w:val="en-US"/>
        </w:rPr>
        <w:t>“</w:t>
      </w:r>
      <w:r w:rsidRPr="00886EEC">
        <w:rPr>
          <w:rFonts w:ascii="Rockwell" w:hAnsi="Rockwell"/>
          <w:b/>
          <w:bCs/>
          <w:i/>
          <w:iCs/>
          <w:sz w:val="28"/>
          <w:szCs w:val="28"/>
        </w:rPr>
        <w:t>This discretion is intended to be exercised to avoid injustice or hardship resulting from accident, inadvertence, or excusable mistake or error, but is not designed to assist a person who has deliberately sought, whether by evasion or otherwise, to obstruct or delay the course of justice: Shah v Mbogo [1969] EA 116,123 BC Harris J.</w:t>
      </w:r>
    </w:p>
    <w:p w14:paraId="025A56EE" w14:textId="4162A807" w:rsidR="00F147CC" w:rsidRPr="004436DF" w:rsidRDefault="00F147CC" w:rsidP="00494A79">
      <w:pPr>
        <w:spacing w:line="276" w:lineRule="auto"/>
        <w:ind w:left="1440"/>
        <w:jc w:val="both"/>
        <w:rPr>
          <w:rFonts w:ascii="Rockwell" w:hAnsi="Rockwell"/>
          <w:b/>
          <w:bCs/>
          <w:i/>
          <w:iCs/>
          <w:sz w:val="28"/>
          <w:szCs w:val="28"/>
        </w:rPr>
      </w:pPr>
      <w:r w:rsidRPr="00886EEC">
        <w:rPr>
          <w:rFonts w:ascii="Rockwell" w:hAnsi="Rockwell"/>
          <w:b/>
          <w:bCs/>
          <w:i/>
          <w:iCs/>
          <w:sz w:val="28"/>
          <w:szCs w:val="28"/>
        </w:rPr>
        <w:lastRenderedPageBreak/>
        <w:t>The matter which should be considered, when an application is made, were set out by Harris J in Jesse Kimani v McConnel [1966] EA 547, 555 F which included, among other matters, the facts and circumstances, both prior and subsequent, and all the respective merits of the parties together with any material factor which appears to have entered into the passing of the judgment, which would not or might not have been present had the judgment not been ex parte and whether or not it would be just and reasonable to set aside or vary the judgment, upon terms to be imposed. This was approved by the former Court of Appeal for East Africa in Mbogo v Shah [1968] EA 93, 95 F. There is also a decision of the late Sheridan J in the High Court of Uganda in Sebei District Administration v Gasyali [1968] EA 300,301,302 in which he adopted some wise words of Ainley J, as he then was, in the same court, in Jamnadas v Sodha v Gordandas Hemraj (1952) 7 ULR 7 namely: “The nature of the action should be considered, the defence if one has been brought to the notice of the court, however, irregularly, should be considered, the question as to whether the plaintiff can reasonably be compensated by costs for any delay occasioned should be considered, and finally, I think, it should always be remembered that to deny the subject a hearing should be the last resort of a court.” And, because it is a discretionary power it should be exercised judicially, or in the Scots phrase, used by Lord Ainslie in Smith v Middleton [1972] SC 30: “... in a selective and discriminatory manner, not arbitrarily or idiosyncratically,” for otherwise, as Lord Diplock said in his speech in Cookson v Knowles [1979] AC 556: “... the parties would become dependent on judicial whim ...”</w:t>
      </w:r>
    </w:p>
    <w:p w14:paraId="7FD47E66" w14:textId="2024E311" w:rsidR="004436DF" w:rsidRDefault="004436DF" w:rsidP="00494A79">
      <w:pPr>
        <w:pStyle w:val="ListParagraph"/>
        <w:numPr>
          <w:ilvl w:val="0"/>
          <w:numId w:val="1"/>
        </w:numPr>
        <w:spacing w:line="360" w:lineRule="auto"/>
        <w:ind w:left="0"/>
        <w:jc w:val="both"/>
        <w:rPr>
          <w:rFonts w:ascii="Rockwell" w:hAnsi="Rockwell"/>
          <w:sz w:val="28"/>
          <w:szCs w:val="28"/>
          <w:lang w:val="en-US"/>
        </w:rPr>
      </w:pPr>
      <w:r>
        <w:rPr>
          <w:rFonts w:ascii="Rockwell" w:hAnsi="Rockwell"/>
          <w:sz w:val="28"/>
          <w:szCs w:val="28"/>
          <w:lang w:val="en-US"/>
        </w:rPr>
        <w:t xml:space="preserve">In addition, in the case of </w:t>
      </w:r>
      <w:r w:rsidR="00F147CC" w:rsidRPr="004436DF">
        <w:rPr>
          <w:rFonts w:ascii="Rockwell" w:hAnsi="Rockwell"/>
          <w:b/>
          <w:bCs/>
          <w:sz w:val="28"/>
          <w:szCs w:val="28"/>
        </w:rPr>
        <w:t>Hajar Services Limited v Peter Nyangi Mwita [2020] eKLR</w:t>
      </w:r>
      <w:r w:rsidR="00F147CC" w:rsidRPr="00F147CC">
        <w:rPr>
          <w:rFonts w:ascii="Rockwell" w:hAnsi="Rockwell"/>
          <w:sz w:val="28"/>
          <w:szCs w:val="28"/>
        </w:rPr>
        <w:t>, the Court reiterated that</w:t>
      </w:r>
      <w:r w:rsidR="00806C6E">
        <w:rPr>
          <w:rFonts w:ascii="Rockwell" w:hAnsi="Rockwell"/>
          <w:sz w:val="28"/>
          <w:szCs w:val="28"/>
          <w:lang w:val="en-US"/>
        </w:rPr>
        <w:t xml:space="preserve"> the</w:t>
      </w:r>
      <w:r w:rsidR="00F147CC" w:rsidRPr="00F147CC">
        <w:rPr>
          <w:rFonts w:ascii="Rockwell" w:hAnsi="Rockwell"/>
          <w:sz w:val="28"/>
          <w:szCs w:val="28"/>
        </w:rPr>
        <w:t xml:space="preserve"> discretion</w:t>
      </w:r>
      <w:r w:rsidR="00806C6E">
        <w:rPr>
          <w:rFonts w:ascii="Rockwell" w:hAnsi="Rockwell"/>
          <w:sz w:val="28"/>
          <w:szCs w:val="28"/>
          <w:lang w:val="en-US"/>
        </w:rPr>
        <w:t xml:space="preserve"> of the court</w:t>
      </w:r>
      <w:r w:rsidR="00F147CC" w:rsidRPr="00F147CC">
        <w:rPr>
          <w:rFonts w:ascii="Rockwell" w:hAnsi="Rockwell"/>
          <w:sz w:val="28"/>
          <w:szCs w:val="28"/>
        </w:rPr>
        <w:t xml:space="preserve"> must be exercised judicially, not whimsically.</w:t>
      </w:r>
      <w:r w:rsidR="00806C6E">
        <w:rPr>
          <w:rFonts w:ascii="Rockwell" w:hAnsi="Rockwell"/>
          <w:sz w:val="28"/>
          <w:szCs w:val="28"/>
          <w:lang w:val="en-US"/>
        </w:rPr>
        <w:t xml:space="preserve"> </w:t>
      </w:r>
      <w:r>
        <w:rPr>
          <w:rFonts w:ascii="Rockwell" w:hAnsi="Rockwell"/>
          <w:sz w:val="28"/>
          <w:szCs w:val="28"/>
          <w:lang w:val="en-US"/>
        </w:rPr>
        <w:t>The court stated</w:t>
      </w:r>
      <w:r w:rsidR="00806C6E">
        <w:rPr>
          <w:rFonts w:ascii="Rockwell" w:hAnsi="Rockwell"/>
          <w:sz w:val="28"/>
          <w:szCs w:val="28"/>
          <w:lang w:val="en-US"/>
        </w:rPr>
        <w:t>;</w:t>
      </w:r>
    </w:p>
    <w:p w14:paraId="66471D36" w14:textId="05BA5545" w:rsidR="004436DF" w:rsidRDefault="00494A79" w:rsidP="00494A79">
      <w:pPr>
        <w:pStyle w:val="ListParagraph"/>
        <w:spacing w:line="276" w:lineRule="auto"/>
        <w:ind w:left="1134"/>
        <w:jc w:val="both"/>
        <w:rPr>
          <w:rFonts w:ascii="Rockwell" w:hAnsi="Rockwell"/>
          <w:b/>
          <w:bCs/>
          <w:i/>
          <w:iCs/>
          <w:sz w:val="28"/>
          <w:szCs w:val="28"/>
        </w:rPr>
      </w:pPr>
      <w:r>
        <w:rPr>
          <w:rFonts w:ascii="Rockwell" w:hAnsi="Rockwell"/>
          <w:b/>
          <w:bCs/>
          <w:i/>
          <w:iCs/>
          <w:sz w:val="28"/>
          <w:szCs w:val="28"/>
          <w:lang w:val="en-US"/>
        </w:rPr>
        <w:lastRenderedPageBreak/>
        <w:t>“</w:t>
      </w:r>
      <w:r w:rsidR="00F147CC" w:rsidRPr="004436DF">
        <w:rPr>
          <w:rFonts w:ascii="Rockwell" w:hAnsi="Rockwell"/>
          <w:b/>
          <w:bCs/>
          <w:i/>
          <w:iCs/>
          <w:sz w:val="28"/>
          <w:szCs w:val="28"/>
        </w:rPr>
        <w:t>This being an exercise of judicial discretion, like any other judicial discretion must on fixed principles and not on private opinions, sentiments and sympathy or benevolence but deservedly and not arbitrarily, whimsically or capriciously. The Court’s discretion being judicial must therefore be exercised on the basis of evidence and sound legal principles, with the burden of disclosing the material falling squarely on the supplicant for such orders. One of those judicial principles expressly provided for in the above provision is that the applicant must satisfy the Court that he has a good cause for doing so, since as was held in Feroz Begum Qureshi and Another vs. Maganbhai Patel and Others [1964] EA 633, there is no difference between the words “sufficient cause” and “good cause”.</w:t>
      </w:r>
    </w:p>
    <w:p w14:paraId="3F6DACF8" w14:textId="04049519" w:rsidR="009A4383" w:rsidRDefault="00F147CC" w:rsidP="00494A79">
      <w:pPr>
        <w:pStyle w:val="ListParagraph"/>
        <w:spacing w:line="276" w:lineRule="auto"/>
        <w:ind w:left="1134"/>
        <w:jc w:val="both"/>
        <w:rPr>
          <w:rFonts w:ascii="Rockwell" w:hAnsi="Rockwell"/>
          <w:b/>
          <w:bCs/>
          <w:i/>
          <w:iCs/>
          <w:sz w:val="28"/>
          <w:szCs w:val="28"/>
          <w:lang w:val="en-US"/>
        </w:rPr>
      </w:pPr>
      <w:r w:rsidRPr="004436DF">
        <w:rPr>
          <w:rFonts w:ascii="Rockwell" w:hAnsi="Rockwell"/>
          <w:b/>
          <w:bCs/>
          <w:i/>
          <w:iCs/>
          <w:sz w:val="28"/>
          <w:szCs w:val="28"/>
        </w:rPr>
        <w:t xml:space="preserve"> It was therefore held in Daphne Parry vs. Murray Alexander Carson [1963] EA 546 that though the provision for extension of time requiring “sufficient reason” should receive a liberal construction, so as to advance substantial justice, when no negligence, nor inaction, nor want of bona fides, is imputed to the appellant, its interpretation must be in accor</w:t>
      </w:r>
      <w:r w:rsidR="00494A79">
        <w:rPr>
          <w:rFonts w:ascii="Rockwell" w:hAnsi="Rockwell"/>
          <w:b/>
          <w:bCs/>
          <w:i/>
          <w:iCs/>
          <w:sz w:val="28"/>
          <w:szCs w:val="28"/>
        </w:rPr>
        <w:t>dance with judicial principles.</w:t>
      </w:r>
      <w:r w:rsidR="00494A79">
        <w:rPr>
          <w:rFonts w:ascii="Rockwell" w:hAnsi="Rockwell"/>
          <w:b/>
          <w:bCs/>
          <w:i/>
          <w:iCs/>
          <w:sz w:val="28"/>
          <w:szCs w:val="28"/>
          <w:lang w:val="en-US"/>
        </w:rPr>
        <w:t>”</w:t>
      </w:r>
    </w:p>
    <w:p w14:paraId="3ED89402" w14:textId="77777777" w:rsidR="00494A79" w:rsidRPr="00494A79" w:rsidRDefault="00494A79" w:rsidP="00494A79">
      <w:pPr>
        <w:pStyle w:val="ListParagraph"/>
        <w:spacing w:line="276" w:lineRule="auto"/>
        <w:ind w:left="1134"/>
        <w:jc w:val="both"/>
        <w:rPr>
          <w:rFonts w:ascii="Rockwell" w:hAnsi="Rockwell"/>
          <w:b/>
          <w:bCs/>
          <w:i/>
          <w:iCs/>
          <w:sz w:val="28"/>
          <w:szCs w:val="28"/>
          <w:lang w:val="en-US"/>
        </w:rPr>
      </w:pPr>
    </w:p>
    <w:p w14:paraId="6B3CDAFA" w14:textId="6823E385" w:rsidR="009A4383" w:rsidRPr="00806C6E" w:rsidRDefault="004436DF" w:rsidP="00494A79">
      <w:pPr>
        <w:pStyle w:val="ListParagraph"/>
        <w:numPr>
          <w:ilvl w:val="0"/>
          <w:numId w:val="1"/>
        </w:numPr>
        <w:spacing w:line="360" w:lineRule="auto"/>
        <w:ind w:left="0"/>
        <w:jc w:val="both"/>
        <w:rPr>
          <w:rFonts w:ascii="Rockwell" w:hAnsi="Rockwell"/>
          <w:b/>
          <w:bCs/>
          <w:i/>
          <w:iCs/>
          <w:sz w:val="28"/>
          <w:szCs w:val="28"/>
          <w:lang w:val="en-US"/>
        </w:rPr>
      </w:pPr>
      <w:r>
        <w:rPr>
          <w:rFonts w:ascii="Rockwell" w:hAnsi="Rockwell"/>
          <w:sz w:val="28"/>
          <w:szCs w:val="28"/>
          <w:lang w:val="en-US"/>
        </w:rPr>
        <w:t xml:space="preserve"> From the record before this court</w:t>
      </w:r>
      <w:bookmarkEnd w:id="1"/>
      <w:r>
        <w:rPr>
          <w:rFonts w:ascii="Rockwell" w:hAnsi="Rockwell"/>
          <w:sz w:val="28"/>
          <w:szCs w:val="28"/>
          <w:lang w:val="en-US"/>
        </w:rPr>
        <w:t>, the matter w</w:t>
      </w:r>
      <w:r w:rsidR="009D4204">
        <w:rPr>
          <w:rFonts w:ascii="Rockwell" w:hAnsi="Rockwell"/>
          <w:sz w:val="28"/>
          <w:szCs w:val="28"/>
          <w:lang w:val="en-US"/>
        </w:rPr>
        <w:t>a</w:t>
      </w:r>
      <w:r>
        <w:rPr>
          <w:rFonts w:ascii="Rockwell" w:hAnsi="Rockwell"/>
          <w:sz w:val="28"/>
          <w:szCs w:val="28"/>
          <w:lang w:val="en-US"/>
        </w:rPr>
        <w:t>s dismissed and the court directed that the court file be closed</w:t>
      </w:r>
      <w:r w:rsidR="009D4204">
        <w:rPr>
          <w:rFonts w:ascii="Rockwell" w:hAnsi="Rockwell"/>
          <w:sz w:val="28"/>
          <w:szCs w:val="28"/>
          <w:lang w:val="en-US"/>
        </w:rPr>
        <w:t>. From the annexures attached to the 1</w:t>
      </w:r>
      <w:r w:rsidR="009D4204" w:rsidRPr="009D4204">
        <w:rPr>
          <w:rFonts w:ascii="Rockwell" w:hAnsi="Rockwell"/>
          <w:sz w:val="28"/>
          <w:szCs w:val="28"/>
          <w:vertAlign w:val="superscript"/>
          <w:lang w:val="en-US"/>
        </w:rPr>
        <w:t>st</w:t>
      </w:r>
      <w:r w:rsidR="009D4204">
        <w:rPr>
          <w:rFonts w:ascii="Rockwell" w:hAnsi="Rockwell"/>
          <w:sz w:val="28"/>
          <w:szCs w:val="28"/>
          <w:lang w:val="en-US"/>
        </w:rPr>
        <w:t xml:space="preserve"> Respondent’s affidavit, there is indeed a similar suit before the Milimani Commercial courts, something which the Applicant has not denied. There is no evidence that the notice of withdrawal was filed.  There are no </w:t>
      </w:r>
      <w:r w:rsidR="00AA0F7C">
        <w:rPr>
          <w:rFonts w:ascii="Rockwell" w:hAnsi="Rockwell"/>
          <w:sz w:val="28"/>
          <w:szCs w:val="28"/>
          <w:lang w:val="en-US"/>
        </w:rPr>
        <w:t>sufficient</w:t>
      </w:r>
      <w:r w:rsidR="009D4204">
        <w:rPr>
          <w:rFonts w:ascii="Rockwell" w:hAnsi="Rockwell"/>
          <w:sz w:val="28"/>
          <w:szCs w:val="28"/>
          <w:lang w:val="en-US"/>
        </w:rPr>
        <w:t xml:space="preserve"> grounds before this court to warrant</w:t>
      </w:r>
      <w:r w:rsidR="00806C6E">
        <w:rPr>
          <w:rFonts w:ascii="Rockwell" w:hAnsi="Rockwell"/>
          <w:sz w:val="28"/>
          <w:szCs w:val="28"/>
          <w:lang w:val="en-US"/>
        </w:rPr>
        <w:t xml:space="preserve"> this court to</w:t>
      </w:r>
      <w:r w:rsidR="009D4204">
        <w:rPr>
          <w:rFonts w:ascii="Rockwell" w:hAnsi="Rockwell"/>
          <w:sz w:val="28"/>
          <w:szCs w:val="28"/>
          <w:lang w:val="en-US"/>
        </w:rPr>
        <w:t xml:space="preserve"> set aside its order</w:t>
      </w:r>
      <w:r w:rsidR="00AA0F7C">
        <w:rPr>
          <w:rFonts w:ascii="Rockwell" w:hAnsi="Rockwell"/>
          <w:sz w:val="28"/>
          <w:szCs w:val="28"/>
          <w:lang w:val="en-US"/>
        </w:rPr>
        <w:t xml:space="preserve">. </w:t>
      </w:r>
      <w:r w:rsidR="009D4204">
        <w:rPr>
          <w:rFonts w:ascii="Rockwell" w:hAnsi="Rockwell"/>
          <w:sz w:val="28"/>
          <w:szCs w:val="28"/>
          <w:lang w:val="en-US"/>
        </w:rPr>
        <w:t>This application</w:t>
      </w:r>
      <w:r w:rsidR="00AA0F7C">
        <w:rPr>
          <w:rFonts w:ascii="Rockwell" w:hAnsi="Rockwell"/>
          <w:sz w:val="28"/>
          <w:szCs w:val="28"/>
          <w:lang w:val="en-US"/>
        </w:rPr>
        <w:t xml:space="preserve"> and </w:t>
      </w:r>
      <w:r w:rsidR="00806C6E">
        <w:rPr>
          <w:rFonts w:ascii="Rockwell" w:hAnsi="Rockwell"/>
          <w:sz w:val="28"/>
          <w:szCs w:val="28"/>
          <w:lang w:val="en-US"/>
        </w:rPr>
        <w:t xml:space="preserve">the </w:t>
      </w:r>
      <w:r w:rsidR="00AA0F7C">
        <w:rPr>
          <w:rFonts w:ascii="Rockwell" w:hAnsi="Rockwell"/>
          <w:sz w:val="28"/>
          <w:szCs w:val="28"/>
          <w:lang w:val="en-US"/>
        </w:rPr>
        <w:t>suit</w:t>
      </w:r>
      <w:r w:rsidR="009D4204">
        <w:rPr>
          <w:rFonts w:ascii="Rockwell" w:hAnsi="Rockwell"/>
          <w:sz w:val="28"/>
          <w:szCs w:val="28"/>
          <w:lang w:val="en-US"/>
        </w:rPr>
        <w:t xml:space="preserve"> </w:t>
      </w:r>
      <w:r w:rsidR="00806C6E">
        <w:rPr>
          <w:rFonts w:ascii="Rockwell" w:hAnsi="Rockwell"/>
          <w:sz w:val="28"/>
          <w:szCs w:val="28"/>
          <w:lang w:val="en-US"/>
        </w:rPr>
        <w:t xml:space="preserve">are </w:t>
      </w:r>
      <w:r w:rsidR="009D4204">
        <w:rPr>
          <w:rFonts w:ascii="Rockwell" w:hAnsi="Rockwell"/>
          <w:sz w:val="28"/>
          <w:szCs w:val="28"/>
          <w:lang w:val="en-US"/>
        </w:rPr>
        <w:t>clearly an abuse of the court process and I am inclined to agree with the 1</w:t>
      </w:r>
      <w:r w:rsidR="009D4204" w:rsidRPr="009D4204">
        <w:rPr>
          <w:rFonts w:ascii="Rockwell" w:hAnsi="Rockwell"/>
          <w:sz w:val="28"/>
          <w:szCs w:val="28"/>
          <w:vertAlign w:val="superscript"/>
          <w:lang w:val="en-US"/>
        </w:rPr>
        <w:t>st</w:t>
      </w:r>
      <w:r w:rsidR="009D4204">
        <w:rPr>
          <w:rFonts w:ascii="Rockwell" w:hAnsi="Rockwell"/>
          <w:sz w:val="28"/>
          <w:szCs w:val="28"/>
          <w:lang w:val="en-US"/>
        </w:rPr>
        <w:t xml:space="preserve"> Respondent. Consequently, the Application is found to be without merit and the same is dismissed. The costs are awarded to the 1</w:t>
      </w:r>
      <w:r w:rsidR="009D4204" w:rsidRPr="009D4204">
        <w:rPr>
          <w:rFonts w:ascii="Rockwell" w:hAnsi="Rockwell"/>
          <w:sz w:val="28"/>
          <w:szCs w:val="28"/>
          <w:vertAlign w:val="superscript"/>
          <w:lang w:val="en-US"/>
        </w:rPr>
        <w:t>st</w:t>
      </w:r>
      <w:r w:rsidR="009D4204">
        <w:rPr>
          <w:rFonts w:ascii="Rockwell" w:hAnsi="Rockwell"/>
          <w:sz w:val="28"/>
          <w:szCs w:val="28"/>
          <w:lang w:val="en-US"/>
        </w:rPr>
        <w:t xml:space="preserve"> Respondent.</w:t>
      </w:r>
    </w:p>
    <w:p w14:paraId="43DC4E97" w14:textId="1856189D" w:rsidR="00806C6E" w:rsidRDefault="00806C6E" w:rsidP="00494A79">
      <w:pPr>
        <w:pStyle w:val="ListParagraph"/>
        <w:spacing w:line="360" w:lineRule="auto"/>
        <w:ind w:left="142"/>
        <w:jc w:val="both"/>
        <w:rPr>
          <w:rFonts w:ascii="Rockwell" w:hAnsi="Rockwell"/>
          <w:sz w:val="28"/>
          <w:szCs w:val="28"/>
          <w:lang w:val="en-US"/>
        </w:rPr>
      </w:pPr>
      <w:r>
        <w:rPr>
          <w:rFonts w:ascii="Rockwell" w:hAnsi="Rockwell"/>
          <w:sz w:val="28"/>
          <w:szCs w:val="28"/>
          <w:lang w:val="en-US"/>
        </w:rPr>
        <w:lastRenderedPageBreak/>
        <w:t>Orders accordingly.</w:t>
      </w:r>
    </w:p>
    <w:p w14:paraId="39FB0338" w14:textId="733F0513" w:rsidR="00806C6E" w:rsidRPr="00494A79" w:rsidRDefault="00806C6E" w:rsidP="00494A79">
      <w:pPr>
        <w:pStyle w:val="ListParagraph"/>
        <w:spacing w:line="360" w:lineRule="auto"/>
        <w:ind w:left="142"/>
        <w:jc w:val="both"/>
        <w:rPr>
          <w:rFonts w:ascii="Rockwell" w:hAnsi="Rockwell"/>
          <w:b/>
          <w:sz w:val="28"/>
          <w:szCs w:val="28"/>
          <w:lang w:val="en-US"/>
        </w:rPr>
      </w:pPr>
      <w:r w:rsidRPr="00494A79">
        <w:rPr>
          <w:rFonts w:ascii="Rockwell" w:hAnsi="Rockwell"/>
          <w:b/>
          <w:sz w:val="28"/>
          <w:szCs w:val="28"/>
          <w:lang w:val="en-US"/>
        </w:rPr>
        <w:t>Ruling signed, dated and</w:t>
      </w:r>
      <w:r w:rsidR="00494A79" w:rsidRPr="00494A79">
        <w:rPr>
          <w:rFonts w:ascii="Rockwell" w:hAnsi="Rockwell"/>
          <w:b/>
          <w:sz w:val="28"/>
          <w:szCs w:val="28"/>
          <w:lang w:val="en-US"/>
        </w:rPr>
        <w:t xml:space="preserve"> delivered virtually on this </w:t>
      </w:r>
      <w:bookmarkStart w:id="2" w:name="_GoBack"/>
      <w:bookmarkEnd w:id="2"/>
      <w:r w:rsidR="00494A79" w:rsidRPr="00494A79">
        <w:rPr>
          <w:rFonts w:ascii="Rockwell" w:hAnsi="Rockwell"/>
          <w:b/>
          <w:sz w:val="28"/>
          <w:szCs w:val="28"/>
          <w:lang w:val="en-US"/>
        </w:rPr>
        <w:t>14</w:t>
      </w:r>
      <w:r w:rsidR="00494A79" w:rsidRPr="00494A79">
        <w:rPr>
          <w:rFonts w:ascii="Rockwell" w:hAnsi="Rockwell"/>
          <w:b/>
          <w:sz w:val="28"/>
          <w:szCs w:val="28"/>
          <w:vertAlign w:val="superscript"/>
          <w:lang w:val="en-US"/>
        </w:rPr>
        <w:t>th</w:t>
      </w:r>
      <w:r w:rsidR="00494A79" w:rsidRPr="00494A79">
        <w:rPr>
          <w:rFonts w:ascii="Rockwell" w:hAnsi="Rockwell"/>
          <w:b/>
          <w:sz w:val="28"/>
          <w:szCs w:val="28"/>
          <w:lang w:val="en-US"/>
        </w:rPr>
        <w:t xml:space="preserve"> </w:t>
      </w:r>
      <w:r w:rsidRPr="00494A79">
        <w:rPr>
          <w:rFonts w:ascii="Rockwell" w:hAnsi="Rockwell"/>
          <w:b/>
          <w:sz w:val="28"/>
          <w:szCs w:val="28"/>
          <w:lang w:val="en-US"/>
        </w:rPr>
        <w:t>day of November 2025.</w:t>
      </w:r>
    </w:p>
    <w:p w14:paraId="3B1713E5" w14:textId="7F6305AA" w:rsidR="00806C6E" w:rsidRDefault="00806C6E" w:rsidP="00806C6E">
      <w:pPr>
        <w:pStyle w:val="ListParagraph"/>
        <w:spacing w:line="360" w:lineRule="auto"/>
        <w:jc w:val="both"/>
        <w:rPr>
          <w:rFonts w:ascii="Rockwell" w:hAnsi="Rockwell"/>
          <w:sz w:val="28"/>
          <w:szCs w:val="28"/>
          <w:lang w:val="en-US"/>
        </w:rPr>
      </w:pPr>
    </w:p>
    <w:p w14:paraId="14DD43EB" w14:textId="45BE1AA0" w:rsidR="00806C6E" w:rsidRPr="00494A79" w:rsidRDefault="00806C6E" w:rsidP="00494A79">
      <w:pPr>
        <w:pStyle w:val="ListParagraph"/>
        <w:spacing w:line="360" w:lineRule="auto"/>
        <w:jc w:val="center"/>
        <w:rPr>
          <w:rFonts w:ascii="Rockwell" w:hAnsi="Rockwell"/>
          <w:b/>
          <w:sz w:val="28"/>
          <w:szCs w:val="28"/>
          <w:lang w:val="en-US"/>
        </w:rPr>
      </w:pPr>
      <w:r w:rsidRPr="00494A79">
        <w:rPr>
          <w:rFonts w:ascii="Rockwell" w:hAnsi="Rockwell"/>
          <w:b/>
          <w:sz w:val="28"/>
          <w:szCs w:val="28"/>
          <w:lang w:val="en-US"/>
        </w:rPr>
        <w:t>E</w:t>
      </w:r>
      <w:r w:rsidR="00494A79" w:rsidRPr="00494A79">
        <w:rPr>
          <w:rFonts w:ascii="Rockwell" w:hAnsi="Rockwell"/>
          <w:b/>
          <w:sz w:val="28"/>
          <w:szCs w:val="28"/>
          <w:lang w:val="en-US"/>
        </w:rPr>
        <w:t>.</w:t>
      </w:r>
      <w:r w:rsidRPr="00494A79">
        <w:rPr>
          <w:rFonts w:ascii="Rockwell" w:hAnsi="Rockwell"/>
          <w:b/>
          <w:sz w:val="28"/>
          <w:szCs w:val="28"/>
          <w:lang w:val="en-US"/>
        </w:rPr>
        <w:t xml:space="preserve"> N</w:t>
      </w:r>
      <w:r w:rsidR="00494A79" w:rsidRPr="00494A79">
        <w:rPr>
          <w:rFonts w:ascii="Rockwell" w:hAnsi="Rockwell"/>
          <w:b/>
          <w:sz w:val="28"/>
          <w:szCs w:val="28"/>
          <w:lang w:val="en-US"/>
        </w:rPr>
        <w:t>.</w:t>
      </w:r>
      <w:r w:rsidRPr="00494A79">
        <w:rPr>
          <w:rFonts w:ascii="Rockwell" w:hAnsi="Rockwell"/>
          <w:b/>
          <w:sz w:val="28"/>
          <w:szCs w:val="28"/>
          <w:lang w:val="en-US"/>
        </w:rPr>
        <w:t xml:space="preserve"> MAINA</w:t>
      </w:r>
    </w:p>
    <w:p w14:paraId="1065CBAB" w14:textId="291047C4" w:rsidR="00806C6E" w:rsidRPr="00494A79" w:rsidRDefault="00806C6E" w:rsidP="00494A79">
      <w:pPr>
        <w:pStyle w:val="ListParagraph"/>
        <w:spacing w:line="360" w:lineRule="auto"/>
        <w:jc w:val="center"/>
        <w:rPr>
          <w:rFonts w:ascii="Rockwell" w:hAnsi="Rockwell"/>
          <w:b/>
          <w:sz w:val="28"/>
          <w:szCs w:val="28"/>
          <w:lang w:val="en-US"/>
        </w:rPr>
      </w:pPr>
      <w:r w:rsidRPr="00494A79">
        <w:rPr>
          <w:rFonts w:ascii="Rockwell" w:hAnsi="Rockwell"/>
          <w:b/>
          <w:sz w:val="28"/>
          <w:szCs w:val="28"/>
          <w:lang w:val="en-US"/>
        </w:rPr>
        <w:t>JUDGE</w:t>
      </w:r>
    </w:p>
    <w:p w14:paraId="1327624E" w14:textId="123C6880" w:rsidR="00806C6E" w:rsidRDefault="00806C6E" w:rsidP="00494A79">
      <w:pPr>
        <w:pStyle w:val="ListParagraph"/>
        <w:spacing w:line="360" w:lineRule="auto"/>
        <w:ind w:left="142"/>
        <w:jc w:val="both"/>
        <w:rPr>
          <w:rFonts w:ascii="Rockwell" w:hAnsi="Rockwell"/>
          <w:b/>
          <w:sz w:val="28"/>
          <w:szCs w:val="28"/>
          <w:u w:val="single"/>
          <w:lang w:val="en-US"/>
        </w:rPr>
      </w:pPr>
      <w:r w:rsidRPr="00494A79">
        <w:rPr>
          <w:rFonts w:ascii="Rockwell" w:hAnsi="Rockwell"/>
          <w:b/>
          <w:sz w:val="28"/>
          <w:szCs w:val="28"/>
          <w:u w:val="single"/>
          <w:lang w:val="en-US"/>
        </w:rPr>
        <w:t>IN PRESENCE OF:</w:t>
      </w:r>
    </w:p>
    <w:p w14:paraId="37F5A278" w14:textId="6C080A2E" w:rsidR="00494A79" w:rsidRPr="00494A79" w:rsidRDefault="00494A79" w:rsidP="00494A79">
      <w:pPr>
        <w:pStyle w:val="ListParagraph"/>
        <w:spacing w:line="360" w:lineRule="auto"/>
        <w:ind w:left="142"/>
        <w:jc w:val="both"/>
        <w:rPr>
          <w:rFonts w:ascii="Rockwell" w:hAnsi="Rockwell"/>
          <w:sz w:val="28"/>
          <w:szCs w:val="28"/>
          <w:lang w:val="en-US"/>
        </w:rPr>
      </w:pPr>
      <w:r w:rsidRPr="00494A79">
        <w:rPr>
          <w:rFonts w:ascii="Rockwell" w:hAnsi="Rockwell"/>
          <w:sz w:val="28"/>
          <w:szCs w:val="28"/>
          <w:lang w:val="en-US"/>
        </w:rPr>
        <w:t>Ms Kimomna for the Respondent</w:t>
      </w:r>
    </w:p>
    <w:p w14:paraId="33FE95BF" w14:textId="77777777" w:rsidR="00494A79" w:rsidRDefault="00494A79" w:rsidP="00494A79">
      <w:pPr>
        <w:pStyle w:val="ListParagraph"/>
        <w:spacing w:line="360" w:lineRule="auto"/>
        <w:ind w:left="142"/>
        <w:jc w:val="both"/>
        <w:rPr>
          <w:rFonts w:ascii="Rockwell" w:hAnsi="Rockwell"/>
          <w:sz w:val="28"/>
          <w:szCs w:val="28"/>
          <w:lang w:val="en-US"/>
        </w:rPr>
      </w:pPr>
      <w:r w:rsidRPr="00494A79">
        <w:rPr>
          <w:rFonts w:ascii="Rockwell" w:hAnsi="Rockwell"/>
          <w:sz w:val="28"/>
          <w:szCs w:val="28"/>
          <w:lang w:val="en-US"/>
        </w:rPr>
        <w:t>Ms Waweru for Ngwili for the Applicant</w:t>
      </w:r>
    </w:p>
    <w:p w14:paraId="0B7B70AA" w14:textId="6D7C51B4" w:rsidR="00494A79" w:rsidRPr="00494A79" w:rsidRDefault="00494A79" w:rsidP="00494A79">
      <w:pPr>
        <w:pStyle w:val="ListParagraph"/>
        <w:spacing w:line="360" w:lineRule="auto"/>
        <w:ind w:left="142"/>
        <w:jc w:val="both"/>
        <w:rPr>
          <w:rFonts w:ascii="Rockwell" w:hAnsi="Rockwell"/>
          <w:bCs/>
          <w:i/>
          <w:iCs/>
          <w:sz w:val="28"/>
          <w:szCs w:val="28"/>
          <w:lang w:val="en-US"/>
        </w:rPr>
      </w:pPr>
      <w:r>
        <w:rPr>
          <w:rFonts w:ascii="Rockwell" w:hAnsi="Rockwell"/>
          <w:sz w:val="28"/>
          <w:szCs w:val="28"/>
          <w:lang w:val="en-US"/>
        </w:rPr>
        <w:t xml:space="preserve">C/A: Geoffrey </w:t>
      </w:r>
      <w:r w:rsidRPr="00494A79">
        <w:rPr>
          <w:rFonts w:ascii="Rockwell" w:hAnsi="Rockwell"/>
          <w:sz w:val="28"/>
          <w:szCs w:val="28"/>
          <w:lang w:val="en-US"/>
        </w:rPr>
        <w:t xml:space="preserve"> </w:t>
      </w:r>
    </w:p>
    <w:sectPr w:rsidR="00494A79" w:rsidRPr="00494A7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0F75B" w14:textId="77777777" w:rsidR="00A91927" w:rsidRDefault="00A91927" w:rsidP="004B328E">
      <w:pPr>
        <w:spacing w:after="0" w:line="240" w:lineRule="auto"/>
      </w:pPr>
      <w:r>
        <w:separator/>
      </w:r>
    </w:p>
  </w:endnote>
  <w:endnote w:type="continuationSeparator" w:id="0">
    <w:p w14:paraId="337B8891" w14:textId="77777777" w:rsidR="00A91927" w:rsidRDefault="00A91927" w:rsidP="004B3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9FD81" w14:textId="77777777" w:rsidR="00222390" w:rsidRDefault="002223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907585"/>
      <w:docPartObj>
        <w:docPartGallery w:val="Page Numbers (Bottom of Page)"/>
        <w:docPartUnique/>
      </w:docPartObj>
    </w:sdtPr>
    <w:sdtEndPr>
      <w:rPr>
        <w:color w:val="7F7F7F" w:themeColor="background1" w:themeShade="7F"/>
        <w:spacing w:val="60"/>
      </w:rPr>
    </w:sdtEndPr>
    <w:sdtContent>
      <w:p w14:paraId="2F0BF688" w14:textId="32E46375" w:rsidR="004B328E" w:rsidRDefault="004B328E">
        <w:pPr>
          <w:pStyle w:val="Footer"/>
          <w:pBdr>
            <w:top w:val="single" w:sz="4" w:space="1" w:color="D9D9D9" w:themeColor="background1" w:themeShade="D9"/>
          </w:pBdr>
          <w:jc w:val="right"/>
        </w:pPr>
        <w:r>
          <w:fldChar w:fldCharType="begin"/>
        </w:r>
        <w:r>
          <w:instrText xml:space="preserve"> PAGE   \* MERGEFORMAT </w:instrText>
        </w:r>
        <w:r>
          <w:fldChar w:fldCharType="separate"/>
        </w:r>
        <w:r w:rsidR="00222390">
          <w:rPr>
            <w:noProof/>
          </w:rPr>
          <w:t>7</w:t>
        </w:r>
        <w:r>
          <w:rPr>
            <w:noProof/>
          </w:rPr>
          <w:fldChar w:fldCharType="end"/>
        </w:r>
        <w:r>
          <w:t xml:space="preserve"> | </w:t>
        </w:r>
        <w:r>
          <w:rPr>
            <w:color w:val="7F7F7F" w:themeColor="background1" w:themeShade="7F"/>
            <w:spacing w:val="60"/>
          </w:rPr>
          <w:t>Page</w:t>
        </w:r>
      </w:p>
    </w:sdtContent>
  </w:sdt>
  <w:p w14:paraId="4BE17C6F" w14:textId="77777777" w:rsidR="004B328E" w:rsidRDefault="004B32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F8F88" w14:textId="77777777" w:rsidR="00222390" w:rsidRDefault="002223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48F2A" w14:textId="77777777" w:rsidR="00A91927" w:rsidRDefault="00A91927" w:rsidP="004B328E">
      <w:pPr>
        <w:spacing w:after="0" w:line="240" w:lineRule="auto"/>
      </w:pPr>
      <w:r>
        <w:separator/>
      </w:r>
    </w:p>
  </w:footnote>
  <w:footnote w:type="continuationSeparator" w:id="0">
    <w:p w14:paraId="7AA23612" w14:textId="77777777" w:rsidR="00A91927" w:rsidRDefault="00A91927" w:rsidP="004B32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72A25" w14:textId="0911DE2D" w:rsidR="00222390" w:rsidRDefault="00222390">
    <w:pPr>
      <w:pStyle w:val="Header"/>
    </w:pPr>
    <w:r>
      <w:rPr>
        <w:noProof/>
      </w:rPr>
      <w:pict w14:anchorId="32ABE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09172" o:spid="_x0000_s2050" type="#_x0000_t136" style="position:absolute;margin-left:0;margin-top:0;width:462.75pt;height:173.5pt;rotation:315;z-index:-251655168;mso-position-horizontal:center;mso-position-horizontal-relative:margin;mso-position-vertical:center;mso-position-vertical-relative:margin" o:allowincell="f" fillcolor="silver" stroked="f">
          <v:textpath style="font-family:&quot;Calibri&quot;;font-size:1pt" string="ORIGINAL"/>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7713F" w14:textId="31AFDB05" w:rsidR="00222390" w:rsidRDefault="00222390">
    <w:pPr>
      <w:pStyle w:val="Header"/>
    </w:pPr>
    <w:r>
      <w:rPr>
        <w:noProof/>
      </w:rPr>
      <w:pict w14:anchorId="39273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09173" o:spid="_x0000_s2051" type="#_x0000_t136" style="position:absolute;margin-left:0;margin-top:0;width:462.75pt;height:173.5pt;rotation:315;z-index:-251653120;mso-position-horizontal:center;mso-position-horizontal-relative:margin;mso-position-vertical:center;mso-position-vertical-relative:margin" o:allowincell="f" fillcolor="silver" stroked="f">
          <v:textpath style="font-family:&quot;Calibri&quot;;font-size:1pt" string="ORIGINAL"/>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1F95A" w14:textId="243D3D61" w:rsidR="00222390" w:rsidRDefault="00222390">
    <w:pPr>
      <w:pStyle w:val="Header"/>
    </w:pPr>
    <w:r>
      <w:rPr>
        <w:noProof/>
      </w:rPr>
      <w:pict w14:anchorId="392D9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09171" o:spid="_x0000_s2049" type="#_x0000_t136" style="position:absolute;margin-left:0;margin-top:0;width:462.75pt;height:173.5pt;rotation:315;z-index:-251657216;mso-position-horizontal:center;mso-position-horizontal-relative:margin;mso-position-vertical:center;mso-position-vertical-relative:margin" o:allowincell="f" fillcolor="silver" stroked="f">
          <v:textpath style="font-family:&quot;Calibri&quot;;font-size:1pt" string="ORIGINAL"/>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4F3E01"/>
    <w:multiLevelType w:val="hybridMultilevel"/>
    <w:tmpl w:val="AB628418"/>
    <w:lvl w:ilvl="0" w:tplc="2810411E">
      <w:start w:val="1"/>
      <w:numFmt w:val="decimal"/>
      <w:suff w:val="nothing"/>
      <w:lvlText w:val="%1."/>
      <w:lvlJc w:val="left"/>
      <w:pPr>
        <w:ind w:left="720" w:hanging="360"/>
      </w:pPr>
      <w:rPr>
        <w:rFonts w:hint="default"/>
        <w:b w:val="0"/>
        <w:bCs w:val="0"/>
        <w:i w:val="0"/>
        <w:iCs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C06"/>
    <w:rsid w:val="00004CD0"/>
    <w:rsid w:val="000801D6"/>
    <w:rsid w:val="00186A38"/>
    <w:rsid w:val="00222390"/>
    <w:rsid w:val="003221B4"/>
    <w:rsid w:val="00391666"/>
    <w:rsid w:val="004436DF"/>
    <w:rsid w:val="00494A79"/>
    <w:rsid w:val="004B328E"/>
    <w:rsid w:val="00743C79"/>
    <w:rsid w:val="00796134"/>
    <w:rsid w:val="007C2DE5"/>
    <w:rsid w:val="00806C6E"/>
    <w:rsid w:val="00886EEC"/>
    <w:rsid w:val="00887F10"/>
    <w:rsid w:val="008F6EA2"/>
    <w:rsid w:val="009A4383"/>
    <w:rsid w:val="009A63AE"/>
    <w:rsid w:val="009D4204"/>
    <w:rsid w:val="00A91927"/>
    <w:rsid w:val="00AA0F7C"/>
    <w:rsid w:val="00B62C06"/>
    <w:rsid w:val="00D07EF4"/>
    <w:rsid w:val="00DF6A9F"/>
    <w:rsid w:val="00F147CC"/>
    <w:rsid w:val="00F4799E"/>
    <w:rsid w:val="00FE0BA3"/>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0AA170"/>
  <w15:chartTrackingRefBased/>
  <w15:docId w15:val="{8DE65B45-D4A6-4FCB-92F6-95B084AE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C06"/>
    <w:pPr>
      <w:ind w:left="720"/>
      <w:contextualSpacing/>
    </w:pPr>
  </w:style>
  <w:style w:type="paragraph" w:styleId="Header">
    <w:name w:val="header"/>
    <w:basedOn w:val="Normal"/>
    <w:link w:val="HeaderChar"/>
    <w:uiPriority w:val="99"/>
    <w:unhideWhenUsed/>
    <w:rsid w:val="004B3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28E"/>
  </w:style>
  <w:style w:type="paragraph" w:styleId="Footer">
    <w:name w:val="footer"/>
    <w:basedOn w:val="Normal"/>
    <w:link w:val="FooterChar"/>
    <w:uiPriority w:val="99"/>
    <w:unhideWhenUsed/>
    <w:rsid w:val="004B3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28E"/>
  </w:style>
  <w:style w:type="paragraph" w:styleId="NormalWeb">
    <w:name w:val="Normal (Web)"/>
    <w:basedOn w:val="Normal"/>
    <w:uiPriority w:val="99"/>
    <w:semiHidden/>
    <w:unhideWhenUsed/>
    <w:rsid w:val="00F147C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22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3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91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Florence</cp:lastModifiedBy>
  <cp:revision>2</cp:revision>
  <cp:lastPrinted>2025-11-17T13:43:00Z</cp:lastPrinted>
  <dcterms:created xsi:type="dcterms:W3CDTF">2025-11-17T13:44:00Z</dcterms:created>
  <dcterms:modified xsi:type="dcterms:W3CDTF">2025-11-17T13:44:00Z</dcterms:modified>
</cp:coreProperties>
</file>