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55700" w14:textId="3B5C0DCD" w:rsidR="007A36B5" w:rsidRDefault="007A36B5" w:rsidP="00F44CF6">
      <w:pPr>
        <w:spacing w:line="276" w:lineRule="auto"/>
        <w:jc w:val="center"/>
        <w:rPr>
          <w:rFonts w:ascii="Rockwell" w:hAnsi="Rockwell" w:cs="Times New Roman"/>
          <w:b/>
          <w:sz w:val="30"/>
          <w:szCs w:val="30"/>
          <w:u w:val="single"/>
        </w:rPr>
      </w:pPr>
      <w:r>
        <w:rPr>
          <w:rFonts w:ascii="Rockwell" w:hAnsi="Rockwell" w:cs="Times New Roman"/>
          <w:b/>
          <w:sz w:val="30"/>
          <w:szCs w:val="30"/>
          <w:u w:val="single"/>
        </w:rPr>
        <w:t>REPUBLIC OF KENYA</w:t>
      </w:r>
    </w:p>
    <w:p w14:paraId="74D74A47" w14:textId="77777777" w:rsidR="007A36B5" w:rsidRDefault="007A36B5" w:rsidP="007A36B5">
      <w:pPr>
        <w:spacing w:line="276" w:lineRule="auto"/>
        <w:jc w:val="center"/>
        <w:rPr>
          <w:rFonts w:ascii="Rockwell" w:hAnsi="Rockwell" w:cs="Times New Roman"/>
          <w:b/>
          <w:sz w:val="30"/>
          <w:szCs w:val="30"/>
          <w:u w:val="single"/>
        </w:rPr>
      </w:pPr>
      <w:r>
        <w:rPr>
          <w:rFonts w:ascii="Rockwell" w:hAnsi="Rockwell" w:cs="Times New Roman"/>
          <w:b/>
          <w:sz w:val="30"/>
          <w:szCs w:val="30"/>
          <w:u w:val="single"/>
        </w:rPr>
        <w:t>IN THE HIGH COURT OF KENYA AT MACHAKOS</w:t>
      </w:r>
    </w:p>
    <w:p w14:paraId="0249773D" w14:textId="122C6731" w:rsidR="007A36B5" w:rsidRDefault="001F7B27" w:rsidP="007A36B5">
      <w:pPr>
        <w:spacing w:line="276" w:lineRule="auto"/>
        <w:jc w:val="center"/>
        <w:rPr>
          <w:rFonts w:ascii="Rockwell" w:hAnsi="Rockwell" w:cs="Times New Roman"/>
          <w:b/>
          <w:sz w:val="30"/>
          <w:szCs w:val="30"/>
          <w:u w:val="single"/>
        </w:rPr>
      </w:pPr>
      <w:r>
        <w:rPr>
          <w:rFonts w:ascii="Rockwell" w:hAnsi="Rockwell" w:cs="Times New Roman"/>
          <w:b/>
          <w:sz w:val="30"/>
          <w:szCs w:val="30"/>
          <w:u w:val="single"/>
        </w:rPr>
        <w:t>CIVIL APPEAL NO. E165 OF 2021</w:t>
      </w:r>
    </w:p>
    <w:p w14:paraId="629F36E8" w14:textId="77777777" w:rsidR="00E767DD" w:rsidRDefault="00E767DD" w:rsidP="007A36B5">
      <w:pPr>
        <w:spacing w:line="240" w:lineRule="auto"/>
        <w:rPr>
          <w:rFonts w:ascii="Rockwell" w:hAnsi="Rockwell" w:cs="Times New Roman"/>
          <w:b/>
          <w:sz w:val="30"/>
          <w:szCs w:val="30"/>
        </w:rPr>
      </w:pPr>
    </w:p>
    <w:p w14:paraId="0962F897" w14:textId="77777777" w:rsidR="00E767DD" w:rsidRDefault="001F7B27" w:rsidP="00F44CF6">
      <w:pPr>
        <w:spacing w:after="0" w:line="240" w:lineRule="auto"/>
        <w:rPr>
          <w:rFonts w:ascii="Rockwell" w:hAnsi="Rockwell" w:cs="Times New Roman"/>
          <w:b/>
          <w:sz w:val="30"/>
          <w:szCs w:val="30"/>
        </w:rPr>
      </w:pPr>
      <w:r>
        <w:rPr>
          <w:rFonts w:ascii="Rockwell" w:hAnsi="Rockwell" w:cs="Times New Roman"/>
          <w:b/>
          <w:sz w:val="30"/>
          <w:szCs w:val="30"/>
        </w:rPr>
        <w:t xml:space="preserve">CHRISTIAN BROADCASTING NETWORK </w:t>
      </w:r>
    </w:p>
    <w:p w14:paraId="577012EF" w14:textId="2EDCAB2A" w:rsidR="007A36B5" w:rsidRDefault="001F7B27" w:rsidP="00F44CF6">
      <w:pPr>
        <w:spacing w:after="0" w:line="240" w:lineRule="auto"/>
        <w:rPr>
          <w:rFonts w:ascii="Rockwell" w:hAnsi="Rockwell" w:cs="Times New Roman"/>
          <w:b/>
          <w:sz w:val="30"/>
          <w:szCs w:val="30"/>
        </w:rPr>
      </w:pPr>
      <w:r>
        <w:rPr>
          <w:rFonts w:ascii="Rockwell" w:hAnsi="Rockwell" w:cs="Times New Roman"/>
          <w:b/>
          <w:sz w:val="30"/>
          <w:szCs w:val="30"/>
        </w:rPr>
        <w:t>(CBN)</w:t>
      </w:r>
      <w:r w:rsidR="007552E9">
        <w:rPr>
          <w:rFonts w:ascii="Rockwell" w:hAnsi="Rockwell" w:cs="Times New Roman"/>
          <w:b/>
          <w:sz w:val="30"/>
          <w:szCs w:val="30"/>
        </w:rPr>
        <w:t xml:space="preserve"> </w:t>
      </w:r>
      <w:r>
        <w:rPr>
          <w:rFonts w:ascii="Rockwell" w:hAnsi="Rockwell" w:cs="Times New Roman"/>
          <w:b/>
          <w:sz w:val="30"/>
          <w:szCs w:val="30"/>
        </w:rPr>
        <w:t>KENYA LIMITED………………</w:t>
      </w:r>
      <w:r w:rsidR="007A36B5">
        <w:rPr>
          <w:rFonts w:ascii="Rockwell" w:hAnsi="Rockwell" w:cs="Times New Roman"/>
          <w:b/>
          <w:sz w:val="30"/>
          <w:szCs w:val="30"/>
        </w:rPr>
        <w:t>............</w:t>
      </w:r>
      <w:r w:rsidR="00E767DD">
        <w:rPr>
          <w:rFonts w:ascii="Rockwell" w:hAnsi="Rockwell" w:cs="Times New Roman"/>
          <w:b/>
          <w:sz w:val="30"/>
          <w:szCs w:val="30"/>
        </w:rPr>
        <w:t>.......</w:t>
      </w:r>
      <w:r>
        <w:rPr>
          <w:rFonts w:ascii="Rockwell" w:hAnsi="Rockwell" w:cs="Times New Roman"/>
          <w:b/>
          <w:sz w:val="30"/>
          <w:szCs w:val="30"/>
        </w:rPr>
        <w:t>.......APPELLANT</w:t>
      </w:r>
    </w:p>
    <w:p w14:paraId="01934860" w14:textId="77777777" w:rsidR="007A36B5" w:rsidRDefault="007A36B5" w:rsidP="007A36B5">
      <w:pPr>
        <w:spacing w:line="240" w:lineRule="auto"/>
        <w:jc w:val="center"/>
        <w:rPr>
          <w:rFonts w:ascii="Rockwell" w:hAnsi="Rockwell" w:cs="Times New Roman"/>
          <w:b/>
          <w:sz w:val="30"/>
          <w:szCs w:val="30"/>
        </w:rPr>
      </w:pPr>
      <w:r>
        <w:rPr>
          <w:rFonts w:ascii="Rockwell" w:hAnsi="Rockwell" w:cs="Times New Roman"/>
          <w:b/>
          <w:sz w:val="30"/>
          <w:szCs w:val="30"/>
        </w:rPr>
        <w:t>VERSUS</w:t>
      </w:r>
    </w:p>
    <w:p w14:paraId="0A4C446C" w14:textId="07991CBA" w:rsidR="007A36B5" w:rsidRPr="003A6561" w:rsidRDefault="001F7B27" w:rsidP="007A36B5">
      <w:pPr>
        <w:spacing w:line="240" w:lineRule="auto"/>
        <w:rPr>
          <w:rFonts w:ascii="Rockwell" w:hAnsi="Rockwell" w:cs="Times New Roman"/>
          <w:b/>
          <w:sz w:val="30"/>
          <w:szCs w:val="30"/>
        </w:rPr>
      </w:pPr>
      <w:r>
        <w:rPr>
          <w:rFonts w:ascii="Rockwell" w:hAnsi="Rockwell" w:cs="Times New Roman"/>
          <w:b/>
          <w:sz w:val="30"/>
          <w:szCs w:val="30"/>
        </w:rPr>
        <w:t>ALMAK AQUA DRILLERS LIMITED……………….</w:t>
      </w:r>
      <w:r w:rsidR="00F44CF6">
        <w:rPr>
          <w:rFonts w:ascii="Rockwell" w:hAnsi="Rockwell" w:cs="Times New Roman"/>
          <w:b/>
          <w:sz w:val="30"/>
          <w:szCs w:val="30"/>
        </w:rPr>
        <w:t>……</w:t>
      </w:r>
      <w:r w:rsidR="007A36B5">
        <w:rPr>
          <w:rFonts w:ascii="Rockwell" w:hAnsi="Rockwell" w:cs="Times New Roman"/>
          <w:b/>
          <w:sz w:val="30"/>
          <w:szCs w:val="30"/>
        </w:rPr>
        <w:t>RESPONDENT</w:t>
      </w:r>
    </w:p>
    <w:p w14:paraId="64ABF7A5" w14:textId="77777777" w:rsidR="00197F46" w:rsidRDefault="00197F46" w:rsidP="001F7B27">
      <w:pPr>
        <w:spacing w:before="240" w:line="276" w:lineRule="auto"/>
        <w:rPr>
          <w:rFonts w:ascii="Rockwell" w:hAnsi="Rockwell" w:cs="Times New Roman"/>
          <w:b/>
          <w:sz w:val="30"/>
          <w:szCs w:val="30"/>
          <w:u w:val="single"/>
        </w:rPr>
      </w:pPr>
    </w:p>
    <w:p w14:paraId="5D2EE784" w14:textId="60241E51" w:rsidR="00DD3629" w:rsidRPr="007A36B5" w:rsidRDefault="007A36B5" w:rsidP="007A36B5">
      <w:pPr>
        <w:spacing w:before="240" w:line="276" w:lineRule="auto"/>
        <w:jc w:val="center"/>
        <w:rPr>
          <w:rFonts w:ascii="Rockwell" w:hAnsi="Rockwell" w:cs="Times New Roman"/>
          <w:b/>
          <w:sz w:val="30"/>
          <w:szCs w:val="30"/>
          <w:u w:val="single"/>
        </w:rPr>
      </w:pPr>
      <w:r>
        <w:rPr>
          <w:rFonts w:ascii="Rockwell" w:hAnsi="Rockwell" w:cs="Times New Roman"/>
          <w:b/>
          <w:sz w:val="30"/>
          <w:szCs w:val="30"/>
          <w:u w:val="single"/>
        </w:rPr>
        <w:t>RULING</w:t>
      </w:r>
    </w:p>
    <w:p w14:paraId="5D2EE78E" w14:textId="4D009019" w:rsidR="00DD3629" w:rsidRDefault="00E72AB5">
      <w:pPr>
        <w:pStyle w:val="ListParagraph"/>
        <w:numPr>
          <w:ilvl w:val="0"/>
          <w:numId w:val="1"/>
        </w:numPr>
        <w:spacing w:before="240" w:line="360" w:lineRule="auto"/>
        <w:ind w:left="90" w:hanging="270"/>
        <w:jc w:val="both"/>
        <w:rPr>
          <w:rFonts w:ascii="Rockwell" w:hAnsi="Rockwell" w:cs="Times New Roman"/>
          <w:sz w:val="30"/>
          <w:szCs w:val="30"/>
        </w:rPr>
      </w:pPr>
      <w:r>
        <w:rPr>
          <w:rFonts w:ascii="Rockwell" w:hAnsi="Rockwell" w:cs="Times New Roman"/>
          <w:sz w:val="30"/>
          <w:szCs w:val="30"/>
        </w:rPr>
        <w:t>By the Notice of Motion dated 7</w:t>
      </w:r>
      <w:r w:rsidRPr="00E72AB5">
        <w:rPr>
          <w:rFonts w:ascii="Rockwell" w:hAnsi="Rockwell" w:cs="Times New Roman"/>
          <w:sz w:val="30"/>
          <w:szCs w:val="30"/>
          <w:vertAlign w:val="superscript"/>
        </w:rPr>
        <w:t>th</w:t>
      </w:r>
      <w:r>
        <w:rPr>
          <w:rFonts w:ascii="Rockwell" w:hAnsi="Rockwell" w:cs="Times New Roman"/>
          <w:sz w:val="30"/>
          <w:szCs w:val="30"/>
        </w:rPr>
        <w:t xml:space="preserve"> April 2025</w:t>
      </w:r>
      <w:r w:rsidR="00EE5B66">
        <w:rPr>
          <w:rFonts w:ascii="Rockwell" w:hAnsi="Rockwell" w:cs="Times New Roman"/>
          <w:sz w:val="30"/>
          <w:szCs w:val="30"/>
        </w:rPr>
        <w:t xml:space="preserve"> the Appellant/Applicant seeks orders firstly, to be allowed to adduce additional evidence</w:t>
      </w:r>
      <w:r>
        <w:rPr>
          <w:rFonts w:ascii="Rockwell" w:hAnsi="Rockwell" w:cs="Times New Roman"/>
          <w:sz w:val="30"/>
          <w:szCs w:val="30"/>
        </w:rPr>
        <w:t xml:space="preserve"> in support of the appeal</w:t>
      </w:r>
      <w:r w:rsidR="00EE5B66">
        <w:rPr>
          <w:rFonts w:ascii="Rockwell" w:hAnsi="Rockwell" w:cs="Times New Roman"/>
          <w:sz w:val="30"/>
          <w:szCs w:val="30"/>
        </w:rPr>
        <w:t xml:space="preserve"> and secondly</w:t>
      </w:r>
      <w:r>
        <w:rPr>
          <w:rFonts w:ascii="Rockwell" w:hAnsi="Rockwell" w:cs="Times New Roman"/>
          <w:sz w:val="30"/>
          <w:szCs w:val="30"/>
        </w:rPr>
        <w:t xml:space="preserve"> that the certificate of incorporation and trust deed of the Christian Broadcasting Network Kenya limited be deemed as duly filed and form part of the record of appeal,</w:t>
      </w:r>
      <w:r w:rsidR="00EE5B66">
        <w:rPr>
          <w:rFonts w:ascii="Rockwell" w:hAnsi="Rockwell" w:cs="Times New Roman"/>
          <w:sz w:val="30"/>
          <w:szCs w:val="30"/>
        </w:rPr>
        <w:t xml:space="preserve"> also prays that the costs of this </w:t>
      </w:r>
      <w:r w:rsidR="00FE0D22">
        <w:rPr>
          <w:rFonts w:ascii="Rockwell" w:hAnsi="Rockwell" w:cs="Times New Roman"/>
          <w:sz w:val="30"/>
          <w:szCs w:val="30"/>
        </w:rPr>
        <w:t>a</w:t>
      </w:r>
      <w:r w:rsidR="00EE5B66">
        <w:rPr>
          <w:rFonts w:ascii="Rockwell" w:hAnsi="Rockwell" w:cs="Times New Roman"/>
          <w:sz w:val="30"/>
          <w:szCs w:val="30"/>
        </w:rPr>
        <w:t xml:space="preserve">pplication be provided for. </w:t>
      </w:r>
    </w:p>
    <w:p w14:paraId="5D2EE78F" w14:textId="77777777" w:rsidR="00DD3629" w:rsidRDefault="00DD3629">
      <w:pPr>
        <w:pStyle w:val="ListParagraph"/>
        <w:spacing w:before="240" w:line="360" w:lineRule="auto"/>
        <w:ind w:left="90"/>
        <w:jc w:val="both"/>
        <w:rPr>
          <w:rFonts w:ascii="Rockwell" w:hAnsi="Rockwell" w:cs="Times New Roman"/>
          <w:sz w:val="30"/>
          <w:szCs w:val="30"/>
        </w:rPr>
      </w:pPr>
    </w:p>
    <w:p w14:paraId="5D2EE790" w14:textId="77777777" w:rsidR="00DD3629" w:rsidRDefault="00EE5B66">
      <w:pPr>
        <w:pStyle w:val="ListParagraph"/>
        <w:spacing w:before="240" w:line="360" w:lineRule="auto"/>
        <w:ind w:left="0"/>
        <w:jc w:val="both"/>
        <w:rPr>
          <w:rFonts w:ascii="Rockwell" w:hAnsi="Rockwell" w:cs="Times New Roman"/>
          <w:b/>
          <w:bCs/>
          <w:sz w:val="30"/>
          <w:szCs w:val="30"/>
          <w:u w:val="single"/>
        </w:rPr>
      </w:pPr>
      <w:r>
        <w:rPr>
          <w:rFonts w:ascii="Rockwell" w:hAnsi="Rockwell" w:cs="Times New Roman"/>
          <w:b/>
          <w:bCs/>
          <w:sz w:val="30"/>
          <w:szCs w:val="30"/>
          <w:u w:val="single"/>
        </w:rPr>
        <w:t xml:space="preserve">The Applicants case </w:t>
      </w:r>
    </w:p>
    <w:p w14:paraId="5FECC52D" w14:textId="3FFCD5EB" w:rsidR="00651AF4" w:rsidRDefault="00E72AB5" w:rsidP="00FE0D22">
      <w:pPr>
        <w:pStyle w:val="ListParagraph"/>
        <w:numPr>
          <w:ilvl w:val="0"/>
          <w:numId w:val="1"/>
        </w:numPr>
        <w:spacing w:before="240" w:line="360" w:lineRule="auto"/>
        <w:ind w:left="0" w:hanging="270"/>
        <w:jc w:val="both"/>
        <w:rPr>
          <w:rFonts w:ascii="Rockwell" w:hAnsi="Rockwell" w:cs="Times New Roman"/>
          <w:sz w:val="30"/>
          <w:szCs w:val="30"/>
        </w:rPr>
      </w:pPr>
      <w:r>
        <w:rPr>
          <w:rFonts w:ascii="Rockwell" w:hAnsi="Rockwell" w:cs="Times New Roman"/>
          <w:sz w:val="30"/>
          <w:szCs w:val="30"/>
        </w:rPr>
        <w:t>In</w:t>
      </w:r>
      <w:r w:rsidR="00EE5B66">
        <w:rPr>
          <w:rFonts w:ascii="Rockwell" w:hAnsi="Rockwell" w:cs="Times New Roman"/>
          <w:sz w:val="30"/>
          <w:szCs w:val="30"/>
        </w:rPr>
        <w:t xml:space="preserve"> </w:t>
      </w:r>
      <w:r w:rsidR="00FE0D22">
        <w:rPr>
          <w:rFonts w:ascii="Rockwell" w:hAnsi="Rockwell" w:cs="Times New Roman"/>
          <w:sz w:val="30"/>
          <w:szCs w:val="30"/>
        </w:rPr>
        <w:t xml:space="preserve">Supporting </w:t>
      </w:r>
      <w:r>
        <w:rPr>
          <w:rFonts w:ascii="Rockwell" w:hAnsi="Rockwell" w:cs="Times New Roman"/>
          <w:sz w:val="30"/>
          <w:szCs w:val="30"/>
        </w:rPr>
        <w:t>Affidavit sworn on 7</w:t>
      </w:r>
      <w:r w:rsidRPr="00E72AB5">
        <w:rPr>
          <w:rFonts w:ascii="Rockwell" w:hAnsi="Rockwell" w:cs="Times New Roman"/>
          <w:sz w:val="30"/>
          <w:szCs w:val="30"/>
          <w:vertAlign w:val="superscript"/>
        </w:rPr>
        <w:t>th</w:t>
      </w:r>
      <w:r>
        <w:rPr>
          <w:rFonts w:ascii="Rockwell" w:hAnsi="Rockwell" w:cs="Times New Roman"/>
          <w:sz w:val="30"/>
          <w:szCs w:val="30"/>
        </w:rPr>
        <w:t xml:space="preserve"> April 2025</w:t>
      </w:r>
      <w:r w:rsidR="00FE0D22">
        <w:rPr>
          <w:rFonts w:ascii="Rockwell" w:hAnsi="Rockwell" w:cs="Times New Roman"/>
          <w:sz w:val="30"/>
          <w:szCs w:val="30"/>
        </w:rPr>
        <w:t>,</w:t>
      </w:r>
      <w:r w:rsidR="00EE5B66">
        <w:rPr>
          <w:rFonts w:ascii="Rockwell" w:hAnsi="Rockwell" w:cs="Times New Roman"/>
          <w:sz w:val="30"/>
          <w:szCs w:val="30"/>
        </w:rPr>
        <w:t xml:space="preserve"> </w:t>
      </w:r>
      <w:r w:rsidR="00FE0D22">
        <w:rPr>
          <w:rFonts w:ascii="Rockwell" w:hAnsi="Rockwell" w:cs="Times New Roman"/>
          <w:sz w:val="30"/>
          <w:szCs w:val="30"/>
        </w:rPr>
        <w:t>t</w:t>
      </w:r>
      <w:r w:rsidR="00EE5B66">
        <w:rPr>
          <w:rFonts w:ascii="Rockwell" w:hAnsi="Rockwell" w:cs="Times New Roman"/>
          <w:sz w:val="30"/>
          <w:szCs w:val="30"/>
        </w:rPr>
        <w:t>he Applicant deposes that</w:t>
      </w:r>
      <w:r w:rsidR="009C4004">
        <w:rPr>
          <w:rFonts w:ascii="Rockwell" w:hAnsi="Rockwell" w:cs="Times New Roman"/>
          <w:sz w:val="30"/>
          <w:szCs w:val="30"/>
        </w:rPr>
        <w:t xml:space="preserve"> </w:t>
      </w:r>
      <w:r>
        <w:rPr>
          <w:rFonts w:ascii="Rockwell" w:hAnsi="Rockwell" w:cs="Times New Roman"/>
          <w:sz w:val="30"/>
          <w:szCs w:val="30"/>
        </w:rPr>
        <w:t>at the</w:t>
      </w:r>
      <w:r w:rsidR="009C4004">
        <w:rPr>
          <w:rFonts w:ascii="Rockwell" w:hAnsi="Rockwell" w:cs="Times New Roman"/>
          <w:sz w:val="30"/>
          <w:szCs w:val="30"/>
        </w:rPr>
        <w:t xml:space="preserve"> </w:t>
      </w:r>
      <w:r>
        <w:rPr>
          <w:rFonts w:ascii="Rockwell" w:hAnsi="Rockwell" w:cs="Times New Roman"/>
          <w:sz w:val="30"/>
          <w:szCs w:val="30"/>
        </w:rPr>
        <w:t>time of filing the appeal they realized that</w:t>
      </w:r>
      <w:r w:rsidRPr="00E72AB5">
        <w:rPr>
          <w:rFonts w:ascii="Rockwell" w:hAnsi="Rockwell" w:cs="Times New Roman"/>
          <w:sz w:val="30"/>
          <w:szCs w:val="30"/>
        </w:rPr>
        <w:t xml:space="preserve"> the certificate of incorporation and trust deed of the Christian Broadcasting Network Kenya limited</w:t>
      </w:r>
      <w:r>
        <w:rPr>
          <w:rFonts w:ascii="Rockwell" w:hAnsi="Rockwell" w:cs="Times New Roman"/>
          <w:sz w:val="30"/>
          <w:szCs w:val="30"/>
        </w:rPr>
        <w:t xml:space="preserve"> were not part of the documents filed by their former advocate. That the two documents were crucial to the appeal in demonstrating when the appellant was incorporated and that no prejudice will be suffered by the respondent if the </w:t>
      </w:r>
      <w:r w:rsidR="0000411F">
        <w:rPr>
          <w:rFonts w:ascii="Rockwell" w:hAnsi="Rockwell" w:cs="Times New Roman"/>
          <w:sz w:val="30"/>
          <w:szCs w:val="30"/>
        </w:rPr>
        <w:t>additional evidence is allowed.</w:t>
      </w:r>
    </w:p>
    <w:p w14:paraId="5D2EE798" w14:textId="77777777" w:rsidR="00DD3629" w:rsidRDefault="00EE5B66">
      <w:pPr>
        <w:spacing w:before="240" w:line="360" w:lineRule="auto"/>
        <w:jc w:val="both"/>
        <w:rPr>
          <w:rFonts w:ascii="Rockwell" w:hAnsi="Rockwell" w:cs="Times New Roman"/>
          <w:b/>
          <w:sz w:val="30"/>
          <w:szCs w:val="30"/>
          <w:u w:val="single"/>
        </w:rPr>
      </w:pPr>
      <w:r>
        <w:rPr>
          <w:rFonts w:ascii="Rockwell" w:hAnsi="Rockwell" w:cs="Times New Roman"/>
          <w:b/>
          <w:sz w:val="30"/>
          <w:szCs w:val="30"/>
          <w:u w:val="single"/>
        </w:rPr>
        <w:lastRenderedPageBreak/>
        <w:t>The Respondent’s case</w:t>
      </w:r>
    </w:p>
    <w:p w14:paraId="5CE34FCA" w14:textId="3D6A51A8" w:rsidR="00086424" w:rsidRDefault="00EE5B66" w:rsidP="00086424">
      <w:pPr>
        <w:pStyle w:val="ListParagraph"/>
        <w:numPr>
          <w:ilvl w:val="0"/>
          <w:numId w:val="1"/>
        </w:numPr>
        <w:spacing w:before="240" w:line="360" w:lineRule="auto"/>
        <w:ind w:left="0" w:hanging="450"/>
        <w:jc w:val="both"/>
        <w:rPr>
          <w:rFonts w:ascii="Rockwell" w:hAnsi="Rockwell" w:cs="Times New Roman"/>
          <w:sz w:val="30"/>
          <w:szCs w:val="30"/>
        </w:rPr>
      </w:pPr>
      <w:r>
        <w:rPr>
          <w:rFonts w:ascii="Rockwell" w:hAnsi="Rockwell" w:cs="Times New Roman"/>
          <w:sz w:val="30"/>
          <w:szCs w:val="30"/>
        </w:rPr>
        <w:t xml:space="preserve">The </w:t>
      </w:r>
      <w:r w:rsidR="007D31D5">
        <w:rPr>
          <w:rFonts w:ascii="Rockwell" w:hAnsi="Rockwell" w:cs="Times New Roman"/>
          <w:sz w:val="30"/>
          <w:szCs w:val="30"/>
        </w:rPr>
        <w:t>Respondent opposed the a</w:t>
      </w:r>
      <w:r>
        <w:rPr>
          <w:rFonts w:ascii="Rockwell" w:hAnsi="Rockwell" w:cs="Times New Roman"/>
          <w:sz w:val="30"/>
          <w:szCs w:val="30"/>
        </w:rPr>
        <w:t>pplication throu</w:t>
      </w:r>
      <w:r w:rsidR="0000411F">
        <w:rPr>
          <w:rFonts w:ascii="Rockwell" w:hAnsi="Rockwell" w:cs="Times New Roman"/>
          <w:sz w:val="30"/>
          <w:szCs w:val="30"/>
        </w:rPr>
        <w:t>gh a Replying Affidavit dated 24</w:t>
      </w:r>
      <w:r w:rsidR="0000411F" w:rsidRPr="0000411F">
        <w:rPr>
          <w:rFonts w:ascii="Rockwell" w:hAnsi="Rockwell" w:cs="Times New Roman"/>
          <w:sz w:val="30"/>
          <w:szCs w:val="30"/>
          <w:vertAlign w:val="superscript"/>
        </w:rPr>
        <w:t>th</w:t>
      </w:r>
      <w:r w:rsidR="0000411F">
        <w:rPr>
          <w:rFonts w:ascii="Rockwell" w:hAnsi="Rockwell" w:cs="Times New Roman"/>
          <w:sz w:val="30"/>
          <w:szCs w:val="30"/>
        </w:rPr>
        <w:t xml:space="preserve"> April 2025</w:t>
      </w:r>
      <w:r>
        <w:rPr>
          <w:rFonts w:ascii="Rockwell" w:hAnsi="Rockwell" w:cs="Times New Roman"/>
          <w:sz w:val="30"/>
          <w:szCs w:val="30"/>
        </w:rPr>
        <w:t xml:space="preserve"> wherein </w:t>
      </w:r>
      <w:r w:rsidR="007D31D5">
        <w:rPr>
          <w:rFonts w:ascii="Rockwell" w:hAnsi="Rockwell" w:cs="Times New Roman"/>
          <w:sz w:val="30"/>
          <w:szCs w:val="30"/>
        </w:rPr>
        <w:t>she deposes</w:t>
      </w:r>
      <w:r>
        <w:rPr>
          <w:rFonts w:ascii="Rockwell" w:hAnsi="Rockwell" w:cs="Times New Roman"/>
          <w:sz w:val="30"/>
          <w:szCs w:val="30"/>
        </w:rPr>
        <w:t xml:space="preserve">, </w:t>
      </w:r>
      <w:r>
        <w:rPr>
          <w:rFonts w:ascii="Rockwell" w:hAnsi="Rockwell" w:cs="Times New Roman"/>
          <w:i/>
          <w:iCs/>
          <w:sz w:val="30"/>
          <w:szCs w:val="30"/>
        </w:rPr>
        <w:t>inter alia</w:t>
      </w:r>
      <w:r>
        <w:rPr>
          <w:rFonts w:ascii="Rockwell" w:hAnsi="Rockwell" w:cs="Times New Roman"/>
          <w:sz w:val="30"/>
          <w:szCs w:val="30"/>
        </w:rPr>
        <w:t>, that the additional evidence</w:t>
      </w:r>
      <w:r w:rsidR="007D31D5">
        <w:rPr>
          <w:rFonts w:ascii="Rockwell" w:hAnsi="Rockwell" w:cs="Times New Roman"/>
          <w:sz w:val="30"/>
          <w:szCs w:val="30"/>
        </w:rPr>
        <w:t xml:space="preserve"> sough</w:t>
      </w:r>
      <w:r w:rsidR="002F2B62">
        <w:rPr>
          <w:rFonts w:ascii="Rockwell" w:hAnsi="Rockwell" w:cs="Times New Roman"/>
          <w:sz w:val="30"/>
          <w:szCs w:val="30"/>
        </w:rPr>
        <w:t>t</w:t>
      </w:r>
      <w:r w:rsidR="0000411F">
        <w:rPr>
          <w:rFonts w:ascii="Rockwell" w:hAnsi="Rockwell" w:cs="Times New Roman"/>
          <w:sz w:val="30"/>
          <w:szCs w:val="30"/>
        </w:rPr>
        <w:t xml:space="preserve"> to be introduced has been brought with inordinate delay and no reasonable explanation has been tendered as why the applicant did not verify the completeness of its record. It was also deposed that no evidence has been tendered to show that the</w:t>
      </w:r>
      <w:r w:rsidR="009C4004">
        <w:rPr>
          <w:rFonts w:ascii="Rockwell" w:hAnsi="Rockwell" w:cs="Times New Roman"/>
          <w:sz w:val="30"/>
          <w:szCs w:val="30"/>
        </w:rPr>
        <w:t xml:space="preserve"> applicant’s</w:t>
      </w:r>
      <w:r w:rsidR="0000411F">
        <w:rPr>
          <w:rFonts w:ascii="Rockwell" w:hAnsi="Rockwell" w:cs="Times New Roman"/>
          <w:sz w:val="30"/>
          <w:szCs w:val="30"/>
        </w:rPr>
        <w:t xml:space="preserve"> former advocates</w:t>
      </w:r>
      <w:r w:rsidR="009C4004">
        <w:rPr>
          <w:rFonts w:ascii="Rockwell" w:hAnsi="Rockwell" w:cs="Times New Roman"/>
          <w:sz w:val="30"/>
          <w:szCs w:val="30"/>
        </w:rPr>
        <w:t xml:space="preserve"> </w:t>
      </w:r>
      <w:r w:rsidR="0000411F">
        <w:rPr>
          <w:rFonts w:ascii="Rockwell" w:hAnsi="Rockwell" w:cs="Times New Roman"/>
          <w:sz w:val="30"/>
          <w:szCs w:val="30"/>
        </w:rPr>
        <w:t>were</w:t>
      </w:r>
      <w:r w:rsidR="009C4004">
        <w:rPr>
          <w:rFonts w:ascii="Rockwell" w:hAnsi="Rockwell" w:cs="Times New Roman"/>
          <w:sz w:val="30"/>
          <w:szCs w:val="30"/>
        </w:rPr>
        <w:t xml:space="preserve"> instructed</w:t>
      </w:r>
      <w:r w:rsidR="0000411F">
        <w:rPr>
          <w:rFonts w:ascii="Rockwell" w:hAnsi="Rockwell" w:cs="Times New Roman"/>
          <w:sz w:val="30"/>
          <w:szCs w:val="30"/>
        </w:rPr>
        <w:t xml:space="preserve"> to file the evidence </w:t>
      </w:r>
      <w:r w:rsidR="009C4004">
        <w:rPr>
          <w:rFonts w:ascii="Rockwell" w:hAnsi="Rockwell" w:cs="Times New Roman"/>
          <w:sz w:val="30"/>
          <w:szCs w:val="30"/>
        </w:rPr>
        <w:t>but</w:t>
      </w:r>
      <w:r w:rsidR="0000411F">
        <w:rPr>
          <w:rFonts w:ascii="Rockwell" w:hAnsi="Rockwell" w:cs="Times New Roman"/>
          <w:sz w:val="30"/>
          <w:szCs w:val="30"/>
        </w:rPr>
        <w:t xml:space="preserve"> failed to do so. It was </w:t>
      </w:r>
      <w:r w:rsidR="009C4004">
        <w:rPr>
          <w:rFonts w:ascii="Rockwell" w:hAnsi="Rockwell" w:cs="Times New Roman"/>
          <w:sz w:val="30"/>
          <w:szCs w:val="30"/>
        </w:rPr>
        <w:t xml:space="preserve">also </w:t>
      </w:r>
      <w:r w:rsidR="0000411F">
        <w:rPr>
          <w:rFonts w:ascii="Rockwell" w:hAnsi="Rockwell" w:cs="Times New Roman"/>
          <w:sz w:val="30"/>
          <w:szCs w:val="30"/>
        </w:rPr>
        <w:t xml:space="preserve">deposed that the applicant was simply trying to introduce new evidence </w:t>
      </w:r>
      <w:r w:rsidR="00F970F3">
        <w:rPr>
          <w:rFonts w:ascii="Rockwell" w:hAnsi="Rockwell" w:cs="Times New Roman"/>
          <w:sz w:val="30"/>
          <w:szCs w:val="30"/>
        </w:rPr>
        <w:t>and</w:t>
      </w:r>
      <w:r w:rsidR="009C4004">
        <w:rPr>
          <w:rFonts w:ascii="Rockwell" w:hAnsi="Rockwell" w:cs="Times New Roman"/>
          <w:sz w:val="30"/>
          <w:szCs w:val="30"/>
        </w:rPr>
        <w:t xml:space="preserve"> </w:t>
      </w:r>
      <w:r w:rsidR="00F970F3">
        <w:rPr>
          <w:rFonts w:ascii="Rockwell" w:hAnsi="Rockwell" w:cs="Times New Roman"/>
          <w:sz w:val="30"/>
          <w:szCs w:val="30"/>
        </w:rPr>
        <w:t xml:space="preserve">this </w:t>
      </w:r>
      <w:r>
        <w:rPr>
          <w:rFonts w:ascii="Rockwell" w:hAnsi="Rockwell" w:cs="Times New Roman"/>
          <w:sz w:val="30"/>
          <w:szCs w:val="30"/>
        </w:rPr>
        <w:t xml:space="preserve">court </w:t>
      </w:r>
      <w:r w:rsidR="009C4004">
        <w:rPr>
          <w:rFonts w:ascii="Rockwell" w:hAnsi="Rockwell" w:cs="Times New Roman"/>
          <w:sz w:val="30"/>
          <w:szCs w:val="30"/>
        </w:rPr>
        <w:t xml:space="preserve">should </w:t>
      </w:r>
      <w:r>
        <w:rPr>
          <w:rFonts w:ascii="Rockwell" w:hAnsi="Rockwell" w:cs="Times New Roman"/>
          <w:sz w:val="30"/>
          <w:szCs w:val="30"/>
        </w:rPr>
        <w:t xml:space="preserve">dismiss the application. </w:t>
      </w:r>
    </w:p>
    <w:p w14:paraId="110A5B85" w14:textId="77777777" w:rsidR="00E767DD" w:rsidRPr="0000411F" w:rsidRDefault="00E767DD" w:rsidP="00E767DD">
      <w:pPr>
        <w:pStyle w:val="ListParagraph"/>
        <w:spacing w:before="240" w:line="360" w:lineRule="auto"/>
        <w:ind w:left="0"/>
        <w:jc w:val="both"/>
        <w:rPr>
          <w:rFonts w:ascii="Rockwell" w:hAnsi="Rockwell" w:cs="Times New Roman"/>
          <w:sz w:val="30"/>
          <w:szCs w:val="30"/>
        </w:rPr>
      </w:pPr>
    </w:p>
    <w:p w14:paraId="34C10DD1" w14:textId="77777777" w:rsidR="00651AF4" w:rsidRDefault="00EE5B66" w:rsidP="00086424">
      <w:pPr>
        <w:pStyle w:val="ListParagraph"/>
        <w:numPr>
          <w:ilvl w:val="0"/>
          <w:numId w:val="1"/>
        </w:numPr>
        <w:spacing w:before="240" w:line="360" w:lineRule="auto"/>
        <w:ind w:left="0" w:hanging="450"/>
        <w:jc w:val="both"/>
        <w:rPr>
          <w:rFonts w:ascii="Rockwell" w:hAnsi="Rockwell" w:cs="Times New Roman"/>
          <w:sz w:val="30"/>
          <w:szCs w:val="30"/>
        </w:rPr>
      </w:pPr>
      <w:r>
        <w:rPr>
          <w:rFonts w:ascii="Rockwell" w:hAnsi="Rockwell" w:cs="Times New Roman"/>
          <w:sz w:val="30"/>
          <w:szCs w:val="30"/>
        </w:rPr>
        <w:t>Learned counsel for the parties consented to canvass the application by</w:t>
      </w:r>
    </w:p>
    <w:p w14:paraId="5565ACBF" w14:textId="77777777" w:rsidR="00E767DD" w:rsidRDefault="00EE5B66">
      <w:pPr>
        <w:pStyle w:val="ListParagraph"/>
        <w:spacing w:before="240" w:line="360" w:lineRule="auto"/>
        <w:ind w:left="0"/>
        <w:jc w:val="both"/>
        <w:rPr>
          <w:rFonts w:ascii="Rockwell" w:hAnsi="Rockwell" w:cs="Times New Roman"/>
          <w:sz w:val="30"/>
          <w:szCs w:val="30"/>
        </w:rPr>
      </w:pPr>
      <w:proofErr w:type="gramStart"/>
      <w:r w:rsidRPr="00651AF4">
        <w:rPr>
          <w:rFonts w:ascii="Rockwell" w:hAnsi="Rockwell" w:cs="Times New Roman"/>
          <w:sz w:val="30"/>
          <w:szCs w:val="30"/>
        </w:rPr>
        <w:t>way</w:t>
      </w:r>
      <w:proofErr w:type="gramEnd"/>
      <w:r w:rsidRPr="00651AF4">
        <w:rPr>
          <w:rFonts w:ascii="Rockwell" w:hAnsi="Rockwell" w:cs="Times New Roman"/>
          <w:sz w:val="30"/>
          <w:szCs w:val="30"/>
        </w:rPr>
        <w:t xml:space="preserve"> of written submissions.</w:t>
      </w:r>
    </w:p>
    <w:p w14:paraId="2B7F3060" w14:textId="38A0F467" w:rsidR="000E0849" w:rsidRPr="00197F46" w:rsidRDefault="00EE5B66">
      <w:pPr>
        <w:pStyle w:val="ListParagraph"/>
        <w:spacing w:before="240" w:line="360" w:lineRule="auto"/>
        <w:ind w:left="0"/>
        <w:jc w:val="both"/>
        <w:rPr>
          <w:rFonts w:ascii="Rockwell" w:hAnsi="Rockwell" w:cs="Times New Roman"/>
          <w:sz w:val="30"/>
          <w:szCs w:val="30"/>
        </w:rPr>
      </w:pPr>
      <w:r w:rsidRPr="00651AF4">
        <w:rPr>
          <w:rFonts w:ascii="Rockwell" w:hAnsi="Rockwell" w:cs="Times New Roman"/>
          <w:sz w:val="30"/>
          <w:szCs w:val="30"/>
        </w:rPr>
        <w:t xml:space="preserve"> </w:t>
      </w:r>
    </w:p>
    <w:p w14:paraId="5D2EE79D" w14:textId="6D2B26DF" w:rsidR="00DD3629" w:rsidRPr="000E0849" w:rsidRDefault="000E0849">
      <w:pPr>
        <w:pStyle w:val="ListParagraph"/>
        <w:spacing w:before="240" w:line="360" w:lineRule="auto"/>
        <w:ind w:left="0"/>
        <w:jc w:val="both"/>
        <w:rPr>
          <w:rFonts w:ascii="Rockwell" w:hAnsi="Rockwell" w:cs="Times New Roman"/>
          <w:b/>
          <w:bCs/>
          <w:sz w:val="30"/>
          <w:szCs w:val="30"/>
          <w:u w:val="single"/>
        </w:rPr>
      </w:pPr>
      <w:r w:rsidRPr="000E0849">
        <w:rPr>
          <w:rFonts w:ascii="Rockwell" w:hAnsi="Rockwell" w:cs="Times New Roman"/>
          <w:b/>
          <w:bCs/>
          <w:sz w:val="30"/>
          <w:szCs w:val="30"/>
          <w:u w:val="single"/>
        </w:rPr>
        <w:t xml:space="preserve">Submissions </w:t>
      </w:r>
    </w:p>
    <w:p w14:paraId="5D2EE79E" w14:textId="3D3382E8" w:rsidR="00DD3629" w:rsidRDefault="0000411F">
      <w:pPr>
        <w:pStyle w:val="ListParagraph"/>
        <w:numPr>
          <w:ilvl w:val="0"/>
          <w:numId w:val="1"/>
        </w:numPr>
        <w:spacing w:before="240" w:line="360" w:lineRule="auto"/>
        <w:ind w:left="0" w:hanging="450"/>
        <w:jc w:val="both"/>
        <w:rPr>
          <w:rFonts w:ascii="Rockwell" w:hAnsi="Rockwell" w:cs="Times New Roman"/>
          <w:sz w:val="30"/>
          <w:szCs w:val="30"/>
        </w:rPr>
      </w:pPr>
      <w:r>
        <w:rPr>
          <w:rFonts w:ascii="Rockwell" w:hAnsi="Rockwell" w:cs="Times New Roman"/>
          <w:sz w:val="30"/>
          <w:szCs w:val="30"/>
        </w:rPr>
        <w:t>In submissions dated 8</w:t>
      </w:r>
      <w:r w:rsidRPr="0000411F">
        <w:rPr>
          <w:rFonts w:ascii="Rockwell" w:hAnsi="Rockwell" w:cs="Times New Roman"/>
          <w:sz w:val="30"/>
          <w:szCs w:val="30"/>
          <w:vertAlign w:val="superscript"/>
        </w:rPr>
        <w:t>th</w:t>
      </w:r>
      <w:r>
        <w:rPr>
          <w:rFonts w:ascii="Rockwell" w:hAnsi="Rockwell" w:cs="Times New Roman"/>
          <w:sz w:val="30"/>
          <w:szCs w:val="30"/>
        </w:rPr>
        <w:t xml:space="preserve"> May</w:t>
      </w:r>
      <w:r w:rsidR="00EE5B66">
        <w:rPr>
          <w:rFonts w:ascii="Rockwell" w:hAnsi="Rockwell" w:cs="Times New Roman"/>
          <w:sz w:val="30"/>
          <w:szCs w:val="30"/>
        </w:rPr>
        <w:t xml:space="preserve"> 2025, Learned Counsel for the Applicant placed reliance on case of </w:t>
      </w:r>
      <w:r w:rsidR="00EE5B66">
        <w:rPr>
          <w:rFonts w:ascii="Rockwell" w:eastAsiaTheme="minorEastAsia" w:hAnsi="Rockwell" w:cs="Times New Roman"/>
          <w:b/>
          <w:bCs/>
          <w:sz w:val="30"/>
          <w:szCs w:val="30"/>
        </w:rPr>
        <w:t xml:space="preserve">Mohamed Abdi </w:t>
      </w:r>
      <w:proofErr w:type="spellStart"/>
      <w:r w:rsidR="00EE5B66">
        <w:rPr>
          <w:rFonts w:ascii="Rockwell" w:eastAsiaTheme="minorEastAsia" w:hAnsi="Rockwell" w:cs="Times New Roman"/>
          <w:b/>
          <w:bCs/>
          <w:sz w:val="30"/>
          <w:szCs w:val="30"/>
        </w:rPr>
        <w:t>Mahamud</w:t>
      </w:r>
      <w:proofErr w:type="spellEnd"/>
      <w:r w:rsidR="00EE5B66">
        <w:rPr>
          <w:rFonts w:ascii="Rockwell" w:eastAsiaTheme="minorEastAsia" w:hAnsi="Rockwell" w:cs="Times New Roman"/>
          <w:b/>
          <w:bCs/>
          <w:sz w:val="30"/>
          <w:szCs w:val="30"/>
        </w:rPr>
        <w:t xml:space="preserve"> </w:t>
      </w:r>
      <w:proofErr w:type="spellStart"/>
      <w:r w:rsidR="00EE5B66">
        <w:rPr>
          <w:rFonts w:ascii="Rockwell" w:eastAsiaTheme="minorEastAsia" w:hAnsi="Rockwell" w:cs="Times New Roman"/>
          <w:b/>
          <w:bCs/>
          <w:sz w:val="30"/>
          <w:szCs w:val="30"/>
        </w:rPr>
        <w:t>vs</w:t>
      </w:r>
      <w:proofErr w:type="spellEnd"/>
      <w:r w:rsidR="00EE5B66">
        <w:rPr>
          <w:rFonts w:ascii="Rockwell" w:eastAsiaTheme="minorEastAsia" w:hAnsi="Rockwell" w:cs="Times New Roman"/>
          <w:b/>
          <w:bCs/>
          <w:sz w:val="30"/>
          <w:szCs w:val="30"/>
        </w:rPr>
        <w:t xml:space="preserve"> Ahmed </w:t>
      </w:r>
      <w:proofErr w:type="spellStart"/>
      <w:r w:rsidR="00EE5B66">
        <w:rPr>
          <w:rFonts w:ascii="Rockwell" w:eastAsiaTheme="minorEastAsia" w:hAnsi="Rockwell" w:cs="Times New Roman"/>
          <w:b/>
          <w:bCs/>
          <w:sz w:val="30"/>
          <w:szCs w:val="30"/>
        </w:rPr>
        <w:t>Abdullahi</w:t>
      </w:r>
      <w:proofErr w:type="spellEnd"/>
      <w:r w:rsidR="00EE5B66">
        <w:rPr>
          <w:rFonts w:ascii="Rockwell" w:eastAsiaTheme="minorEastAsia" w:hAnsi="Rockwell" w:cs="Times New Roman"/>
          <w:b/>
          <w:bCs/>
          <w:sz w:val="30"/>
          <w:szCs w:val="30"/>
        </w:rPr>
        <w:t xml:space="preserve"> Moham</w:t>
      </w:r>
      <w:r w:rsidR="00086424">
        <w:rPr>
          <w:rFonts w:ascii="Rockwell" w:eastAsiaTheme="minorEastAsia" w:hAnsi="Rockwell" w:cs="Times New Roman"/>
          <w:b/>
          <w:bCs/>
          <w:sz w:val="30"/>
          <w:szCs w:val="30"/>
        </w:rPr>
        <w:t>a</w:t>
      </w:r>
      <w:r w:rsidR="00EE5B66">
        <w:rPr>
          <w:rFonts w:ascii="Rockwell" w:eastAsiaTheme="minorEastAsia" w:hAnsi="Rockwell" w:cs="Times New Roman"/>
          <w:b/>
          <w:bCs/>
          <w:sz w:val="30"/>
          <w:szCs w:val="30"/>
        </w:rPr>
        <w:t>d and 3 others [2018] eKLR</w:t>
      </w:r>
      <w:r w:rsidR="00EE5B66">
        <w:rPr>
          <w:rFonts w:ascii="Rockwell" w:eastAsiaTheme="minorEastAsia" w:hAnsi="Rockwell" w:cs="Times New Roman"/>
          <w:sz w:val="30"/>
          <w:szCs w:val="30"/>
        </w:rPr>
        <w:t xml:space="preserve"> wherein the Supreme Court set out the guiding principles for the admission of additional evidence by appellate courts.  Counsel submitted th</w:t>
      </w:r>
      <w:r>
        <w:rPr>
          <w:rFonts w:ascii="Rockwell" w:hAnsi="Rockwell" w:cs="Times New Roman"/>
          <w:sz w:val="30"/>
          <w:szCs w:val="30"/>
        </w:rPr>
        <w:t xml:space="preserve">at </w:t>
      </w:r>
      <w:r w:rsidRPr="0000411F">
        <w:rPr>
          <w:rFonts w:ascii="Rockwell" w:eastAsiaTheme="minorEastAsia" w:hAnsi="Rockwell" w:cs="Times New Roman"/>
          <w:sz w:val="30"/>
          <w:szCs w:val="30"/>
        </w:rPr>
        <w:t xml:space="preserve">the certificate of incorporation and trust deed of the Christian Broadcasting Network Kenya limited </w:t>
      </w:r>
      <w:r>
        <w:rPr>
          <w:rFonts w:ascii="Rockwell" w:eastAsiaTheme="minorEastAsia" w:hAnsi="Rockwell" w:cs="Times New Roman"/>
          <w:sz w:val="30"/>
          <w:szCs w:val="30"/>
        </w:rPr>
        <w:t>were directly relevant t</w:t>
      </w:r>
      <w:r w:rsidR="00964184">
        <w:rPr>
          <w:rFonts w:ascii="Rockwell" w:eastAsiaTheme="minorEastAsia" w:hAnsi="Rockwell" w:cs="Times New Roman"/>
          <w:sz w:val="30"/>
          <w:szCs w:val="30"/>
        </w:rPr>
        <w:t xml:space="preserve">o the matter and should be admitted </w:t>
      </w:r>
      <w:r w:rsidR="00EE5B66">
        <w:rPr>
          <w:rFonts w:ascii="Rockwell" w:hAnsi="Rockwell" w:cs="Times New Roman"/>
          <w:sz w:val="30"/>
          <w:szCs w:val="30"/>
        </w:rPr>
        <w:t xml:space="preserve">  Counsel urged this court to allow the application </w:t>
      </w:r>
      <w:r w:rsidR="00086424">
        <w:rPr>
          <w:rFonts w:ascii="Rockwell" w:hAnsi="Rockwell" w:cs="Times New Roman"/>
          <w:sz w:val="30"/>
          <w:szCs w:val="30"/>
        </w:rPr>
        <w:t xml:space="preserve">arguing that </w:t>
      </w:r>
      <w:r w:rsidR="00EE5B66">
        <w:rPr>
          <w:rFonts w:ascii="Rockwell" w:hAnsi="Rockwell" w:cs="Times New Roman"/>
          <w:sz w:val="30"/>
          <w:szCs w:val="30"/>
        </w:rPr>
        <w:t xml:space="preserve">the Applicant had demonstrated that it </w:t>
      </w:r>
      <w:r w:rsidR="00086424">
        <w:rPr>
          <w:rFonts w:ascii="Rockwell" w:hAnsi="Rockwell" w:cs="Times New Roman"/>
          <w:sz w:val="30"/>
          <w:szCs w:val="30"/>
        </w:rPr>
        <w:t>is merited.</w:t>
      </w:r>
    </w:p>
    <w:p w14:paraId="5D2EE79F" w14:textId="77777777" w:rsidR="00DD3629" w:rsidRDefault="00DD3629">
      <w:pPr>
        <w:pStyle w:val="ListParagraph"/>
        <w:spacing w:before="240" w:line="360" w:lineRule="auto"/>
        <w:ind w:left="0"/>
        <w:jc w:val="both"/>
        <w:rPr>
          <w:rFonts w:ascii="Rockwell" w:hAnsi="Rockwell" w:cs="Times New Roman"/>
          <w:sz w:val="30"/>
          <w:szCs w:val="30"/>
        </w:rPr>
      </w:pPr>
    </w:p>
    <w:p w14:paraId="5D2EE7A0" w14:textId="00E41FD2" w:rsidR="00DD3629" w:rsidRDefault="00EE5B66">
      <w:pPr>
        <w:pStyle w:val="ListParagraph"/>
        <w:numPr>
          <w:ilvl w:val="0"/>
          <w:numId w:val="1"/>
        </w:numPr>
        <w:spacing w:before="240" w:after="0" w:line="360" w:lineRule="auto"/>
        <w:ind w:left="90" w:hanging="450"/>
        <w:jc w:val="both"/>
        <w:rPr>
          <w:rFonts w:ascii="Rockwell" w:hAnsi="Rockwell" w:cs="Times New Roman"/>
          <w:sz w:val="30"/>
          <w:szCs w:val="30"/>
        </w:rPr>
      </w:pPr>
      <w:r>
        <w:rPr>
          <w:rFonts w:ascii="Rockwell" w:hAnsi="Rockwell" w:cs="Times New Roman"/>
          <w:bCs/>
          <w:sz w:val="30"/>
          <w:szCs w:val="30"/>
        </w:rPr>
        <w:lastRenderedPageBreak/>
        <w:t>For the Respondent,</w:t>
      </w:r>
      <w:r>
        <w:rPr>
          <w:rFonts w:ascii="Rockwell" w:hAnsi="Rockwell" w:cs="Times New Roman"/>
          <w:b/>
          <w:sz w:val="30"/>
          <w:szCs w:val="30"/>
        </w:rPr>
        <w:t xml:space="preserve"> </w:t>
      </w:r>
      <w:r>
        <w:rPr>
          <w:rFonts w:ascii="Rockwell" w:hAnsi="Rockwell" w:cs="Times New Roman"/>
          <w:sz w:val="30"/>
          <w:szCs w:val="30"/>
        </w:rPr>
        <w:t xml:space="preserve">reliance was placed on </w:t>
      </w:r>
      <w:r>
        <w:rPr>
          <w:rFonts w:ascii="Rockwell" w:hAnsi="Rockwell" w:cs="Times New Roman"/>
          <w:b/>
          <w:bCs/>
          <w:sz w:val="30"/>
          <w:szCs w:val="30"/>
        </w:rPr>
        <w:t>Order 42 Rule 27 of Civil Procedure Rules</w:t>
      </w:r>
      <w:r>
        <w:rPr>
          <w:rFonts w:ascii="Rockwell" w:hAnsi="Rockwell" w:cs="Times New Roman"/>
          <w:sz w:val="30"/>
          <w:szCs w:val="30"/>
        </w:rPr>
        <w:t xml:space="preserve"> and on the case of </w:t>
      </w:r>
      <w:proofErr w:type="spellStart"/>
      <w:r w:rsidR="00964184">
        <w:rPr>
          <w:rFonts w:ascii="Rockwell" w:hAnsi="Rockwell" w:cs="Times New Roman"/>
          <w:b/>
          <w:bCs/>
          <w:sz w:val="30"/>
          <w:szCs w:val="30"/>
        </w:rPr>
        <w:t>Wanje</w:t>
      </w:r>
      <w:proofErr w:type="spellEnd"/>
      <w:r w:rsidR="00964184">
        <w:rPr>
          <w:rFonts w:ascii="Rockwell" w:hAnsi="Rockwell" w:cs="Times New Roman"/>
          <w:b/>
          <w:bCs/>
          <w:sz w:val="30"/>
          <w:szCs w:val="30"/>
        </w:rPr>
        <w:t xml:space="preserve"> </w:t>
      </w:r>
      <w:proofErr w:type="spellStart"/>
      <w:r w:rsidR="00964184">
        <w:rPr>
          <w:rFonts w:ascii="Rockwell" w:hAnsi="Rockwell" w:cs="Times New Roman"/>
          <w:b/>
          <w:bCs/>
          <w:sz w:val="30"/>
          <w:szCs w:val="30"/>
        </w:rPr>
        <w:t>vs</w:t>
      </w:r>
      <w:proofErr w:type="spellEnd"/>
      <w:r w:rsidR="00964184">
        <w:rPr>
          <w:rFonts w:ascii="Rockwell" w:hAnsi="Rockwell" w:cs="Times New Roman"/>
          <w:b/>
          <w:bCs/>
          <w:sz w:val="30"/>
          <w:szCs w:val="30"/>
        </w:rPr>
        <w:t xml:space="preserve"> </w:t>
      </w:r>
      <w:proofErr w:type="spellStart"/>
      <w:r w:rsidR="00964184">
        <w:rPr>
          <w:rFonts w:ascii="Rockwell" w:hAnsi="Rockwell" w:cs="Times New Roman"/>
          <w:b/>
          <w:bCs/>
          <w:sz w:val="30"/>
          <w:szCs w:val="30"/>
        </w:rPr>
        <w:t>Saikwa</w:t>
      </w:r>
      <w:proofErr w:type="spellEnd"/>
      <w:r w:rsidR="00964184">
        <w:rPr>
          <w:rFonts w:ascii="Rockwell" w:hAnsi="Rockwell" w:cs="Times New Roman"/>
          <w:b/>
          <w:bCs/>
          <w:sz w:val="30"/>
          <w:szCs w:val="30"/>
        </w:rPr>
        <w:t>(1984) KLR275</w:t>
      </w:r>
    </w:p>
    <w:p w14:paraId="5D2EE7A1" w14:textId="77777777" w:rsidR="00DD3629" w:rsidRDefault="00DD3629">
      <w:pPr>
        <w:pStyle w:val="ListParagraph"/>
        <w:rPr>
          <w:rFonts w:ascii="Rockwell" w:hAnsi="Rockwell" w:cs="Times New Roman"/>
          <w:sz w:val="30"/>
          <w:szCs w:val="30"/>
        </w:rPr>
      </w:pPr>
    </w:p>
    <w:p w14:paraId="7CC102A9" w14:textId="77777777" w:rsidR="00F44CF6" w:rsidRDefault="00EE5B66" w:rsidP="00F44CF6">
      <w:pPr>
        <w:pStyle w:val="ListParagraph"/>
        <w:numPr>
          <w:ilvl w:val="0"/>
          <w:numId w:val="1"/>
        </w:numPr>
        <w:spacing w:before="240" w:after="0" w:line="360" w:lineRule="auto"/>
        <w:ind w:left="90" w:hanging="450"/>
        <w:jc w:val="both"/>
        <w:rPr>
          <w:rFonts w:ascii="Rockwell" w:hAnsi="Rockwell" w:cs="Times New Roman"/>
          <w:sz w:val="30"/>
          <w:szCs w:val="30"/>
        </w:rPr>
      </w:pPr>
      <w:r>
        <w:rPr>
          <w:rFonts w:ascii="Rockwell" w:hAnsi="Rockwell" w:cs="Times New Roman"/>
          <w:sz w:val="30"/>
          <w:szCs w:val="30"/>
        </w:rPr>
        <w:t>Counsel for the Respondent submitted</w:t>
      </w:r>
      <w:r w:rsidR="005C17BE">
        <w:rPr>
          <w:rFonts w:ascii="Rockwell" w:hAnsi="Rockwell" w:cs="Times New Roman"/>
          <w:sz w:val="30"/>
          <w:szCs w:val="30"/>
        </w:rPr>
        <w:t xml:space="preserve"> that</w:t>
      </w:r>
      <w:r w:rsidR="00964184">
        <w:rPr>
          <w:rFonts w:ascii="Rockwell" w:hAnsi="Rockwell" w:cs="Times New Roman"/>
          <w:sz w:val="30"/>
          <w:szCs w:val="30"/>
        </w:rPr>
        <w:t xml:space="preserve"> the new evidence to be adduced was not new as the applicant had the knowledge of its existence and had not done enough to ensure it was adduced at the trial court</w:t>
      </w:r>
      <w:r w:rsidRPr="00A3267C">
        <w:rPr>
          <w:rFonts w:ascii="Rockwell" w:hAnsi="Rockwell" w:cs="Times New Roman"/>
          <w:sz w:val="30"/>
          <w:szCs w:val="30"/>
        </w:rPr>
        <w:t>.</w:t>
      </w:r>
      <w:r w:rsidR="00964184">
        <w:rPr>
          <w:rFonts w:ascii="Rockwell" w:hAnsi="Rockwell" w:cs="Times New Roman"/>
          <w:sz w:val="30"/>
          <w:szCs w:val="30"/>
        </w:rPr>
        <w:t xml:space="preserve">  That allowing the new evidence would offend the principle of litigation must come to an end.</w:t>
      </w:r>
    </w:p>
    <w:p w14:paraId="18CB13E1" w14:textId="77777777" w:rsidR="00F44CF6" w:rsidRPr="00F44CF6" w:rsidRDefault="00F44CF6" w:rsidP="00F44CF6">
      <w:pPr>
        <w:pStyle w:val="ListParagraph"/>
        <w:rPr>
          <w:rFonts w:ascii="Rockwell" w:hAnsi="Rockwell" w:cs="Times New Roman"/>
          <w:sz w:val="30"/>
          <w:szCs w:val="30"/>
        </w:rPr>
      </w:pPr>
    </w:p>
    <w:p w14:paraId="5D2EE7A6" w14:textId="13901039" w:rsidR="00DD3629" w:rsidRPr="00F44CF6" w:rsidRDefault="00EE5B66" w:rsidP="00F44CF6">
      <w:pPr>
        <w:pStyle w:val="ListParagraph"/>
        <w:numPr>
          <w:ilvl w:val="0"/>
          <w:numId w:val="1"/>
        </w:numPr>
        <w:spacing w:before="240" w:after="0" w:line="360" w:lineRule="auto"/>
        <w:ind w:left="90" w:hanging="450"/>
        <w:jc w:val="both"/>
        <w:rPr>
          <w:rFonts w:ascii="Rockwell" w:hAnsi="Rockwell" w:cs="Times New Roman"/>
          <w:sz w:val="30"/>
          <w:szCs w:val="30"/>
        </w:rPr>
      </w:pPr>
      <w:r w:rsidRPr="00F44CF6">
        <w:rPr>
          <w:rFonts w:ascii="Rockwell" w:hAnsi="Rockwell" w:cs="Times New Roman"/>
          <w:sz w:val="30"/>
          <w:szCs w:val="30"/>
        </w:rPr>
        <w:t xml:space="preserve">Counsel </w:t>
      </w:r>
      <w:r w:rsidR="00A3267C" w:rsidRPr="00F44CF6">
        <w:rPr>
          <w:rFonts w:ascii="Rockwell" w:hAnsi="Rockwell" w:cs="Times New Roman"/>
          <w:sz w:val="30"/>
          <w:szCs w:val="30"/>
        </w:rPr>
        <w:t xml:space="preserve">for the Respondent </w:t>
      </w:r>
      <w:r w:rsidRPr="00F44CF6">
        <w:rPr>
          <w:rFonts w:ascii="Rockwell" w:hAnsi="Rockwell" w:cs="Times New Roman"/>
          <w:sz w:val="30"/>
          <w:szCs w:val="30"/>
        </w:rPr>
        <w:t xml:space="preserve">submitted that should the new evidence be admitted, the Respondent will be greatly </w:t>
      </w:r>
      <w:r w:rsidR="003A6561" w:rsidRPr="00F44CF6">
        <w:rPr>
          <w:rFonts w:ascii="Rockwell" w:hAnsi="Rockwell" w:cs="Times New Roman"/>
          <w:sz w:val="30"/>
          <w:szCs w:val="30"/>
        </w:rPr>
        <w:t>prejudiced; that</w:t>
      </w:r>
      <w:r w:rsidRPr="00F44CF6">
        <w:rPr>
          <w:rFonts w:ascii="Rockwell" w:hAnsi="Rockwell" w:cs="Times New Roman"/>
          <w:sz w:val="30"/>
          <w:szCs w:val="30"/>
        </w:rPr>
        <w:t xml:space="preserve"> the Appellant has not in any way or form demonstrated that the additional evidence has any important or direct </w:t>
      </w:r>
      <w:r w:rsidR="00A3267C" w:rsidRPr="00F44CF6">
        <w:rPr>
          <w:rFonts w:ascii="Rockwell" w:hAnsi="Rockwell" w:cs="Times New Roman"/>
          <w:sz w:val="30"/>
          <w:szCs w:val="30"/>
        </w:rPr>
        <w:t xml:space="preserve">effect </w:t>
      </w:r>
      <w:r w:rsidRPr="00F44CF6">
        <w:rPr>
          <w:rFonts w:ascii="Rockwell" w:hAnsi="Rockwell" w:cs="Times New Roman"/>
          <w:sz w:val="30"/>
          <w:szCs w:val="30"/>
        </w:rPr>
        <w:t xml:space="preserve">on </w:t>
      </w:r>
      <w:r w:rsidR="00A3267C" w:rsidRPr="00F44CF6">
        <w:rPr>
          <w:rFonts w:ascii="Rockwell" w:hAnsi="Rockwell" w:cs="Times New Roman"/>
          <w:sz w:val="30"/>
          <w:szCs w:val="30"/>
        </w:rPr>
        <w:t>the outcome</w:t>
      </w:r>
      <w:r w:rsidRPr="00F44CF6">
        <w:rPr>
          <w:rFonts w:ascii="Rockwell" w:hAnsi="Rockwell" w:cs="Times New Roman"/>
          <w:sz w:val="30"/>
          <w:szCs w:val="30"/>
        </w:rPr>
        <w:t xml:space="preserve"> of the </w:t>
      </w:r>
      <w:r w:rsidR="00A3267C" w:rsidRPr="00F44CF6">
        <w:rPr>
          <w:rFonts w:ascii="Rockwell" w:hAnsi="Rockwell" w:cs="Times New Roman"/>
          <w:sz w:val="30"/>
          <w:szCs w:val="30"/>
        </w:rPr>
        <w:t>appeal</w:t>
      </w:r>
      <w:r w:rsidRPr="00F44CF6">
        <w:rPr>
          <w:rFonts w:ascii="Rockwell" w:hAnsi="Rockwell" w:cs="Times New Roman"/>
          <w:sz w:val="30"/>
          <w:szCs w:val="30"/>
        </w:rPr>
        <w:t xml:space="preserve"> and hence the </w:t>
      </w:r>
      <w:proofErr w:type="gramStart"/>
      <w:r w:rsidRPr="00F44CF6">
        <w:rPr>
          <w:rFonts w:ascii="Rockwell" w:hAnsi="Rockwell" w:cs="Times New Roman"/>
          <w:sz w:val="30"/>
          <w:szCs w:val="30"/>
        </w:rPr>
        <w:t>application</w:t>
      </w:r>
      <w:proofErr w:type="gramEnd"/>
      <w:r w:rsidRPr="00F44CF6">
        <w:rPr>
          <w:rFonts w:ascii="Rockwell" w:hAnsi="Rockwell" w:cs="Times New Roman"/>
          <w:sz w:val="30"/>
          <w:szCs w:val="30"/>
        </w:rPr>
        <w:t xml:space="preserve"> should be dismissed with costs.</w:t>
      </w:r>
    </w:p>
    <w:p w14:paraId="5D2EE7A7" w14:textId="77777777" w:rsidR="00DD3629" w:rsidRDefault="00EE5B66">
      <w:pPr>
        <w:tabs>
          <w:tab w:val="left" w:pos="810"/>
        </w:tabs>
        <w:spacing w:before="240" w:line="360" w:lineRule="auto"/>
        <w:jc w:val="both"/>
        <w:rPr>
          <w:rFonts w:ascii="Rockwell" w:hAnsi="Rockwell" w:cs="Times New Roman"/>
          <w:b/>
          <w:bCs/>
          <w:sz w:val="30"/>
          <w:szCs w:val="30"/>
          <w:u w:val="single"/>
        </w:rPr>
      </w:pPr>
      <w:r>
        <w:rPr>
          <w:rFonts w:ascii="Rockwell" w:hAnsi="Rockwell" w:cs="Times New Roman"/>
          <w:b/>
          <w:bCs/>
          <w:sz w:val="30"/>
          <w:szCs w:val="30"/>
          <w:u w:val="single"/>
        </w:rPr>
        <w:t>Analysis and determination</w:t>
      </w:r>
    </w:p>
    <w:p w14:paraId="5D2EE7A8" w14:textId="46F8B340" w:rsidR="00DD3629" w:rsidRDefault="00EE5B66">
      <w:pPr>
        <w:pStyle w:val="ListParagraph"/>
        <w:numPr>
          <w:ilvl w:val="0"/>
          <w:numId w:val="1"/>
        </w:numPr>
        <w:spacing w:before="240" w:after="0" w:line="360" w:lineRule="auto"/>
        <w:ind w:left="0" w:hanging="450"/>
        <w:jc w:val="both"/>
        <w:rPr>
          <w:rFonts w:ascii="Rockwell" w:eastAsiaTheme="minorEastAsia" w:hAnsi="Rockwell" w:cs="Times New Roman"/>
          <w:sz w:val="30"/>
          <w:szCs w:val="30"/>
        </w:rPr>
      </w:pPr>
      <w:r>
        <w:rPr>
          <w:rFonts w:ascii="Rockwell" w:eastAsiaTheme="minorEastAsia" w:hAnsi="Rockwell" w:cs="Times New Roman"/>
          <w:sz w:val="30"/>
          <w:szCs w:val="30"/>
        </w:rPr>
        <w:t>This court has considered the application, the response thereto the rival submissions</w:t>
      </w:r>
      <w:r w:rsidR="009C4004">
        <w:rPr>
          <w:rFonts w:ascii="Rockwell" w:eastAsiaTheme="minorEastAsia" w:hAnsi="Rockwell" w:cs="Times New Roman"/>
          <w:sz w:val="30"/>
          <w:szCs w:val="30"/>
        </w:rPr>
        <w:t xml:space="preserve">, </w:t>
      </w:r>
      <w:r>
        <w:rPr>
          <w:rFonts w:ascii="Rockwell" w:eastAsiaTheme="minorEastAsia" w:hAnsi="Rockwell" w:cs="Times New Roman"/>
          <w:sz w:val="30"/>
          <w:szCs w:val="30"/>
        </w:rPr>
        <w:t>the cases cited</w:t>
      </w:r>
      <w:r w:rsidR="009C4004">
        <w:rPr>
          <w:rFonts w:ascii="Rockwell" w:eastAsiaTheme="minorEastAsia" w:hAnsi="Rockwell" w:cs="Times New Roman"/>
          <w:sz w:val="30"/>
          <w:szCs w:val="30"/>
        </w:rPr>
        <w:t xml:space="preserve"> and the law</w:t>
      </w:r>
      <w:r>
        <w:rPr>
          <w:rFonts w:ascii="Rockwell" w:eastAsiaTheme="minorEastAsia" w:hAnsi="Rockwell" w:cs="Times New Roman"/>
          <w:sz w:val="30"/>
          <w:szCs w:val="30"/>
        </w:rPr>
        <w:t xml:space="preserve">.  The principles that should guide an appellate court in an application for additional evidence on appeal were laid by the Supreme Court in the case of </w:t>
      </w:r>
      <w:r>
        <w:rPr>
          <w:rFonts w:ascii="Rockwell" w:eastAsiaTheme="minorEastAsia" w:hAnsi="Rockwell" w:cs="Times New Roman"/>
          <w:b/>
          <w:bCs/>
          <w:sz w:val="30"/>
          <w:szCs w:val="30"/>
        </w:rPr>
        <w:t xml:space="preserve">Mohamed Abdi </w:t>
      </w:r>
      <w:proofErr w:type="spellStart"/>
      <w:r>
        <w:rPr>
          <w:rFonts w:ascii="Rockwell" w:eastAsiaTheme="minorEastAsia" w:hAnsi="Rockwell" w:cs="Times New Roman"/>
          <w:b/>
          <w:bCs/>
          <w:sz w:val="30"/>
          <w:szCs w:val="30"/>
        </w:rPr>
        <w:t>Mahamud</w:t>
      </w:r>
      <w:proofErr w:type="spellEnd"/>
      <w:r>
        <w:rPr>
          <w:rFonts w:ascii="Rockwell" w:eastAsiaTheme="minorEastAsia" w:hAnsi="Rockwell" w:cs="Times New Roman"/>
          <w:b/>
          <w:bCs/>
          <w:sz w:val="30"/>
          <w:szCs w:val="30"/>
        </w:rPr>
        <w:t xml:space="preserve"> </w:t>
      </w:r>
      <w:proofErr w:type="spellStart"/>
      <w:r>
        <w:rPr>
          <w:rFonts w:ascii="Rockwell" w:eastAsiaTheme="minorEastAsia" w:hAnsi="Rockwell" w:cs="Times New Roman"/>
          <w:b/>
          <w:bCs/>
          <w:sz w:val="30"/>
          <w:szCs w:val="30"/>
        </w:rPr>
        <w:t>vs</w:t>
      </w:r>
      <w:proofErr w:type="spellEnd"/>
      <w:r>
        <w:rPr>
          <w:rFonts w:ascii="Rockwell" w:eastAsiaTheme="minorEastAsia" w:hAnsi="Rockwell" w:cs="Times New Roman"/>
          <w:b/>
          <w:bCs/>
          <w:sz w:val="30"/>
          <w:szCs w:val="30"/>
        </w:rPr>
        <w:t xml:space="preserve"> Ahmed </w:t>
      </w:r>
      <w:proofErr w:type="spellStart"/>
      <w:r>
        <w:rPr>
          <w:rFonts w:ascii="Rockwell" w:eastAsiaTheme="minorEastAsia" w:hAnsi="Rockwell" w:cs="Times New Roman"/>
          <w:b/>
          <w:bCs/>
          <w:sz w:val="30"/>
          <w:szCs w:val="30"/>
        </w:rPr>
        <w:t>Abdullahi</w:t>
      </w:r>
      <w:proofErr w:type="spellEnd"/>
      <w:r>
        <w:rPr>
          <w:rFonts w:ascii="Rockwell" w:eastAsiaTheme="minorEastAsia" w:hAnsi="Rockwell" w:cs="Times New Roman"/>
          <w:b/>
          <w:bCs/>
          <w:sz w:val="30"/>
          <w:szCs w:val="30"/>
        </w:rPr>
        <w:t xml:space="preserve"> Moham</w:t>
      </w:r>
      <w:r w:rsidR="00781143">
        <w:rPr>
          <w:rFonts w:ascii="Rockwell" w:eastAsiaTheme="minorEastAsia" w:hAnsi="Rockwell" w:cs="Times New Roman"/>
          <w:b/>
          <w:bCs/>
          <w:sz w:val="30"/>
          <w:szCs w:val="30"/>
        </w:rPr>
        <w:t>a</w:t>
      </w:r>
      <w:r>
        <w:rPr>
          <w:rFonts w:ascii="Rockwell" w:eastAsiaTheme="minorEastAsia" w:hAnsi="Rockwell" w:cs="Times New Roman"/>
          <w:b/>
          <w:bCs/>
          <w:sz w:val="30"/>
          <w:szCs w:val="30"/>
        </w:rPr>
        <w:t>d and 3 others [2018] eKLR,</w:t>
      </w:r>
      <w:r>
        <w:rPr>
          <w:rFonts w:ascii="Rockwell" w:eastAsiaTheme="minorEastAsia" w:hAnsi="Rockwell" w:cs="Times New Roman"/>
          <w:sz w:val="30"/>
          <w:szCs w:val="30"/>
        </w:rPr>
        <w:t xml:space="preserve"> where the court stated:</w:t>
      </w:r>
    </w:p>
    <w:p w14:paraId="02BDC3F5" w14:textId="772AD9CE" w:rsidR="00781143" w:rsidRPr="00651AF4" w:rsidRDefault="00781143" w:rsidP="004A3927">
      <w:pPr>
        <w:pStyle w:val="ListParagraph"/>
        <w:spacing w:before="240" w:after="0" w:line="276" w:lineRule="auto"/>
        <w:ind w:left="540"/>
        <w:jc w:val="both"/>
        <w:rPr>
          <w:rFonts w:ascii="Rockwell" w:eastAsiaTheme="minorEastAsia" w:hAnsi="Rockwell" w:cs="Times New Roman"/>
          <w:b/>
          <w:bCs/>
          <w:sz w:val="30"/>
          <w:szCs w:val="30"/>
        </w:rPr>
      </w:pPr>
      <w:r w:rsidRPr="00651AF4">
        <w:rPr>
          <w:rFonts w:ascii="Rockwell" w:eastAsiaTheme="minorEastAsia" w:hAnsi="Rockwell" w:cs="Times New Roman"/>
          <w:b/>
          <w:bCs/>
          <w:sz w:val="30"/>
          <w:szCs w:val="30"/>
        </w:rPr>
        <w:t xml:space="preserve">“[79] Taking into account the practice of various jurisdictions outlined above, which are of persuasive value, the elaborate submissions by Counsel, our own experience in electoral litigation disputes and the law, we conclude that we can, in exceptional circumstances and on a </w:t>
      </w:r>
      <w:r w:rsidR="004A3927" w:rsidRPr="00651AF4">
        <w:rPr>
          <w:rFonts w:ascii="Rockwell" w:eastAsiaTheme="minorEastAsia" w:hAnsi="Rockwell" w:cs="Times New Roman"/>
          <w:b/>
          <w:bCs/>
          <w:sz w:val="30"/>
          <w:szCs w:val="30"/>
        </w:rPr>
        <w:t>case by case</w:t>
      </w:r>
      <w:r w:rsidRPr="00651AF4">
        <w:rPr>
          <w:rFonts w:ascii="Rockwell" w:eastAsiaTheme="minorEastAsia" w:hAnsi="Rockwell" w:cs="Times New Roman"/>
          <w:b/>
          <w:bCs/>
          <w:sz w:val="30"/>
          <w:szCs w:val="30"/>
        </w:rPr>
        <w:t xml:space="preserve"> basis, exercise </w:t>
      </w:r>
      <w:r w:rsidRPr="00651AF4">
        <w:rPr>
          <w:rFonts w:ascii="Rockwell" w:eastAsiaTheme="minorEastAsia" w:hAnsi="Rockwell" w:cs="Times New Roman"/>
          <w:b/>
          <w:bCs/>
          <w:sz w:val="30"/>
          <w:szCs w:val="30"/>
        </w:rPr>
        <w:lastRenderedPageBreak/>
        <w:t xml:space="preserve">our discretion and call for and allow additional evidence to be adduced before us. We therefore lay down the governing </w:t>
      </w:r>
      <w:r w:rsidR="004A3927" w:rsidRPr="00651AF4">
        <w:rPr>
          <w:rFonts w:ascii="Rockwell" w:eastAsiaTheme="minorEastAsia" w:hAnsi="Rockwell" w:cs="Times New Roman"/>
          <w:b/>
          <w:bCs/>
          <w:sz w:val="30"/>
          <w:szCs w:val="30"/>
        </w:rPr>
        <w:t>principles</w:t>
      </w:r>
      <w:r w:rsidRPr="00651AF4">
        <w:rPr>
          <w:rFonts w:ascii="Rockwell" w:eastAsiaTheme="minorEastAsia" w:hAnsi="Rockwell" w:cs="Times New Roman"/>
          <w:b/>
          <w:bCs/>
          <w:sz w:val="30"/>
          <w:szCs w:val="30"/>
        </w:rPr>
        <w:t xml:space="preserve"> on </w:t>
      </w:r>
      <w:r w:rsidR="004A3927" w:rsidRPr="00651AF4">
        <w:rPr>
          <w:rFonts w:ascii="Rockwell" w:eastAsiaTheme="minorEastAsia" w:hAnsi="Rockwell" w:cs="Times New Roman"/>
          <w:b/>
          <w:bCs/>
          <w:sz w:val="30"/>
          <w:szCs w:val="30"/>
        </w:rPr>
        <w:t>allowing</w:t>
      </w:r>
      <w:r w:rsidRPr="00651AF4">
        <w:rPr>
          <w:rFonts w:ascii="Rockwell" w:eastAsiaTheme="minorEastAsia" w:hAnsi="Rockwell" w:cs="Times New Roman"/>
          <w:b/>
          <w:bCs/>
          <w:sz w:val="30"/>
          <w:szCs w:val="30"/>
        </w:rPr>
        <w:t xml:space="preserve"> additional evidence in appellate courts in </w:t>
      </w:r>
      <w:r w:rsidR="004A3927" w:rsidRPr="00651AF4">
        <w:rPr>
          <w:rFonts w:ascii="Rockwell" w:eastAsiaTheme="minorEastAsia" w:hAnsi="Rockwell" w:cs="Times New Roman"/>
          <w:b/>
          <w:bCs/>
          <w:sz w:val="30"/>
          <w:szCs w:val="30"/>
        </w:rPr>
        <w:t>Kenya</w:t>
      </w:r>
      <w:r w:rsidRPr="00651AF4">
        <w:rPr>
          <w:rFonts w:ascii="Rockwell" w:eastAsiaTheme="minorEastAsia" w:hAnsi="Rockwell" w:cs="Times New Roman"/>
          <w:b/>
          <w:bCs/>
          <w:sz w:val="30"/>
          <w:szCs w:val="30"/>
        </w:rPr>
        <w:t xml:space="preserve"> as follows</w:t>
      </w:r>
      <w:r w:rsidR="004A3927" w:rsidRPr="00651AF4">
        <w:rPr>
          <w:rFonts w:ascii="Rockwell" w:eastAsiaTheme="minorEastAsia" w:hAnsi="Rockwell" w:cs="Times New Roman"/>
          <w:b/>
          <w:bCs/>
          <w:sz w:val="30"/>
          <w:szCs w:val="30"/>
        </w:rPr>
        <w:t>:</w:t>
      </w:r>
      <w:r w:rsidRPr="00651AF4">
        <w:rPr>
          <w:rFonts w:ascii="Rockwell" w:eastAsiaTheme="minorEastAsia" w:hAnsi="Rockwell" w:cs="Times New Roman"/>
          <w:b/>
          <w:bCs/>
          <w:sz w:val="30"/>
          <w:szCs w:val="30"/>
        </w:rPr>
        <w:t xml:space="preserve">  </w:t>
      </w:r>
    </w:p>
    <w:p w14:paraId="5D2EE7A9" w14:textId="71959AF4" w:rsidR="00DD3629" w:rsidRDefault="00EE5B66" w:rsidP="004A3927">
      <w:pPr>
        <w:spacing w:before="240" w:after="0" w:line="276" w:lineRule="auto"/>
        <w:ind w:left="1890" w:hanging="630"/>
        <w:contextualSpacing/>
        <w:jc w:val="both"/>
        <w:rPr>
          <w:rFonts w:ascii="Rockwell" w:eastAsiaTheme="minorEastAsia" w:hAnsi="Rockwell" w:cs="Times New Roman"/>
          <w:b/>
          <w:i/>
          <w:sz w:val="30"/>
          <w:szCs w:val="30"/>
        </w:rPr>
      </w:pPr>
      <w:r>
        <w:rPr>
          <w:rFonts w:ascii="Rockwell" w:eastAsiaTheme="minorEastAsia" w:hAnsi="Rockwell" w:cs="Times New Roman"/>
          <w:b/>
          <w:i/>
          <w:sz w:val="30"/>
          <w:szCs w:val="30"/>
        </w:rPr>
        <w:t>“(a) the additional evidence must be directly relevant to the matter before the court and be in the interest of justice;</w:t>
      </w:r>
    </w:p>
    <w:p w14:paraId="5D2EE7AA" w14:textId="0A2C2293" w:rsidR="00DD3629" w:rsidRDefault="004A3927" w:rsidP="004A3927">
      <w:pPr>
        <w:spacing w:before="240" w:after="0" w:line="276" w:lineRule="auto"/>
        <w:ind w:left="1890" w:hanging="630"/>
        <w:contextualSpacing/>
        <w:jc w:val="both"/>
        <w:rPr>
          <w:rFonts w:ascii="Rockwell" w:eastAsiaTheme="minorEastAsia" w:hAnsi="Rockwell" w:cs="Times New Roman"/>
          <w:b/>
          <w:i/>
          <w:sz w:val="30"/>
          <w:szCs w:val="30"/>
        </w:rPr>
      </w:pPr>
      <w:r>
        <w:rPr>
          <w:rFonts w:ascii="Rockwell" w:eastAsiaTheme="minorEastAsia" w:hAnsi="Rockwell" w:cs="Times New Roman"/>
          <w:b/>
          <w:i/>
          <w:sz w:val="30"/>
          <w:szCs w:val="30"/>
        </w:rPr>
        <w:t xml:space="preserve">  (</w:t>
      </w:r>
      <w:r w:rsidR="00EE5B66">
        <w:rPr>
          <w:rFonts w:ascii="Rockwell" w:eastAsiaTheme="minorEastAsia" w:hAnsi="Rockwell" w:cs="Times New Roman"/>
          <w:b/>
          <w:i/>
          <w:sz w:val="30"/>
          <w:szCs w:val="30"/>
        </w:rPr>
        <w:t>b</w:t>
      </w:r>
      <w:r>
        <w:rPr>
          <w:rFonts w:ascii="Rockwell" w:eastAsiaTheme="minorEastAsia" w:hAnsi="Rockwell" w:cs="Times New Roman"/>
          <w:b/>
          <w:i/>
          <w:sz w:val="30"/>
          <w:szCs w:val="30"/>
        </w:rPr>
        <w:t>)</w:t>
      </w:r>
      <w:r w:rsidR="00EE5B66">
        <w:rPr>
          <w:rFonts w:ascii="Rockwell" w:eastAsiaTheme="minorEastAsia" w:hAnsi="Rockwell" w:cs="Times New Roman"/>
          <w:b/>
          <w:i/>
          <w:sz w:val="30"/>
          <w:szCs w:val="30"/>
        </w:rPr>
        <w:tab/>
        <w:t>it must be such that, if given, it would influence or impact upon the result of the verdict, although it need not be decisive;</w:t>
      </w:r>
    </w:p>
    <w:p w14:paraId="5D2EE7AB" w14:textId="22B2C087" w:rsidR="00DD3629" w:rsidRDefault="004A3927" w:rsidP="004A3927">
      <w:pPr>
        <w:spacing w:before="240" w:after="0" w:line="276" w:lineRule="auto"/>
        <w:ind w:left="1890" w:hanging="630"/>
        <w:contextualSpacing/>
        <w:jc w:val="both"/>
        <w:rPr>
          <w:rFonts w:ascii="Rockwell" w:eastAsiaTheme="minorEastAsia" w:hAnsi="Rockwell" w:cs="Times New Roman"/>
          <w:b/>
          <w:i/>
          <w:sz w:val="30"/>
          <w:szCs w:val="30"/>
        </w:rPr>
      </w:pPr>
      <w:r>
        <w:rPr>
          <w:rFonts w:ascii="Rockwell" w:eastAsiaTheme="minorEastAsia" w:hAnsi="Rockwell" w:cs="Times New Roman"/>
          <w:b/>
          <w:i/>
          <w:sz w:val="30"/>
          <w:szCs w:val="30"/>
        </w:rPr>
        <w:t xml:space="preserve"> (</w:t>
      </w:r>
      <w:r w:rsidR="00EE5B66">
        <w:rPr>
          <w:rFonts w:ascii="Rockwell" w:eastAsiaTheme="minorEastAsia" w:hAnsi="Rockwell" w:cs="Times New Roman"/>
          <w:b/>
          <w:i/>
          <w:sz w:val="30"/>
          <w:szCs w:val="30"/>
        </w:rPr>
        <w:t>c</w:t>
      </w:r>
      <w:r>
        <w:rPr>
          <w:rFonts w:ascii="Rockwell" w:eastAsiaTheme="minorEastAsia" w:hAnsi="Rockwell" w:cs="Times New Roman"/>
          <w:b/>
          <w:i/>
          <w:sz w:val="30"/>
          <w:szCs w:val="30"/>
        </w:rPr>
        <w:t>)</w:t>
      </w:r>
      <w:r w:rsidR="00EE5B66">
        <w:rPr>
          <w:rFonts w:ascii="Rockwell" w:eastAsiaTheme="minorEastAsia" w:hAnsi="Rockwell" w:cs="Times New Roman"/>
          <w:b/>
          <w:i/>
          <w:sz w:val="30"/>
          <w:szCs w:val="30"/>
        </w:rPr>
        <w:tab/>
        <w:t>it is shown that it could not have been obtained with reasonable diligence for use at the trial, was not within the knowledge of, or could not have been produced at the time of the suit or petition by the party seeking to adduce the additional evidence;</w:t>
      </w:r>
    </w:p>
    <w:p w14:paraId="5D2EE7AC" w14:textId="075957EA" w:rsidR="00DD3629" w:rsidRDefault="004A3927" w:rsidP="004A3927">
      <w:pPr>
        <w:spacing w:before="240" w:after="0" w:line="276" w:lineRule="auto"/>
        <w:ind w:left="1890" w:hanging="630"/>
        <w:contextualSpacing/>
        <w:jc w:val="both"/>
        <w:rPr>
          <w:rFonts w:ascii="Rockwell" w:eastAsiaTheme="minorEastAsia" w:hAnsi="Rockwell" w:cs="Times New Roman"/>
          <w:b/>
          <w:i/>
          <w:sz w:val="30"/>
          <w:szCs w:val="30"/>
        </w:rPr>
      </w:pPr>
      <w:r>
        <w:rPr>
          <w:rFonts w:ascii="Rockwell" w:eastAsiaTheme="minorEastAsia" w:hAnsi="Rockwell" w:cs="Times New Roman"/>
          <w:b/>
          <w:i/>
          <w:sz w:val="30"/>
          <w:szCs w:val="30"/>
        </w:rPr>
        <w:t xml:space="preserve"> (</w:t>
      </w:r>
      <w:r w:rsidR="00EE5B66">
        <w:rPr>
          <w:rFonts w:ascii="Rockwell" w:eastAsiaTheme="minorEastAsia" w:hAnsi="Rockwell" w:cs="Times New Roman"/>
          <w:b/>
          <w:i/>
          <w:sz w:val="30"/>
          <w:szCs w:val="30"/>
        </w:rPr>
        <w:t>d</w:t>
      </w:r>
      <w:r>
        <w:rPr>
          <w:rFonts w:ascii="Rockwell" w:eastAsiaTheme="minorEastAsia" w:hAnsi="Rockwell" w:cs="Times New Roman"/>
          <w:b/>
          <w:i/>
          <w:sz w:val="30"/>
          <w:szCs w:val="30"/>
        </w:rPr>
        <w:t>)</w:t>
      </w:r>
      <w:r w:rsidR="00EE5B66">
        <w:rPr>
          <w:rFonts w:ascii="Rockwell" w:eastAsiaTheme="minorEastAsia" w:hAnsi="Rockwell" w:cs="Times New Roman"/>
          <w:b/>
          <w:i/>
          <w:sz w:val="30"/>
          <w:szCs w:val="30"/>
        </w:rPr>
        <w:tab/>
        <w:t>where the additional evidence sought to be adduced removes any vagueness or doubt over the case and has a direct bearing on the main issue in the suit;</w:t>
      </w:r>
    </w:p>
    <w:p w14:paraId="5D2EE7AD" w14:textId="3DC99086" w:rsidR="00DD3629" w:rsidRDefault="004A3927" w:rsidP="004A3927">
      <w:pPr>
        <w:spacing w:before="240" w:after="0" w:line="276" w:lineRule="auto"/>
        <w:ind w:left="1890" w:hanging="630"/>
        <w:contextualSpacing/>
        <w:jc w:val="both"/>
        <w:rPr>
          <w:rFonts w:ascii="Rockwell" w:eastAsiaTheme="minorEastAsia" w:hAnsi="Rockwell" w:cs="Times New Roman"/>
          <w:b/>
          <w:i/>
          <w:sz w:val="30"/>
          <w:szCs w:val="30"/>
        </w:rPr>
      </w:pPr>
      <w:r>
        <w:rPr>
          <w:rFonts w:ascii="Rockwell" w:eastAsiaTheme="minorEastAsia" w:hAnsi="Rockwell" w:cs="Times New Roman"/>
          <w:b/>
          <w:i/>
          <w:sz w:val="30"/>
          <w:szCs w:val="30"/>
        </w:rPr>
        <w:t xml:space="preserve"> (</w:t>
      </w:r>
      <w:r w:rsidR="00EE5B66">
        <w:rPr>
          <w:rFonts w:ascii="Rockwell" w:eastAsiaTheme="minorEastAsia" w:hAnsi="Rockwell" w:cs="Times New Roman"/>
          <w:b/>
          <w:i/>
          <w:sz w:val="30"/>
          <w:szCs w:val="30"/>
        </w:rPr>
        <w:t>e</w:t>
      </w:r>
      <w:r>
        <w:rPr>
          <w:rFonts w:ascii="Rockwell" w:eastAsiaTheme="minorEastAsia" w:hAnsi="Rockwell" w:cs="Times New Roman"/>
          <w:b/>
          <w:i/>
          <w:sz w:val="30"/>
          <w:szCs w:val="30"/>
        </w:rPr>
        <w:t>)</w:t>
      </w:r>
      <w:r w:rsidR="00EE5B66">
        <w:rPr>
          <w:rFonts w:ascii="Rockwell" w:eastAsiaTheme="minorEastAsia" w:hAnsi="Rockwell" w:cs="Times New Roman"/>
          <w:b/>
          <w:i/>
          <w:sz w:val="30"/>
          <w:szCs w:val="30"/>
        </w:rPr>
        <w:tab/>
        <w:t>the evidence must be credible in the sense that it is capable of belief;</w:t>
      </w:r>
    </w:p>
    <w:p w14:paraId="5D2EE7AE" w14:textId="7222A63C" w:rsidR="00DD3629" w:rsidRDefault="004A3927" w:rsidP="004A3927">
      <w:pPr>
        <w:spacing w:before="240" w:after="0" w:line="276" w:lineRule="auto"/>
        <w:ind w:left="1890" w:hanging="630"/>
        <w:contextualSpacing/>
        <w:jc w:val="both"/>
        <w:rPr>
          <w:rFonts w:ascii="Rockwell" w:eastAsiaTheme="minorEastAsia" w:hAnsi="Rockwell" w:cs="Times New Roman"/>
          <w:b/>
          <w:i/>
          <w:sz w:val="30"/>
          <w:szCs w:val="30"/>
        </w:rPr>
      </w:pPr>
      <w:r>
        <w:rPr>
          <w:rFonts w:ascii="Rockwell" w:eastAsiaTheme="minorEastAsia" w:hAnsi="Rockwell" w:cs="Times New Roman"/>
          <w:b/>
          <w:i/>
          <w:sz w:val="30"/>
          <w:szCs w:val="30"/>
        </w:rPr>
        <w:t xml:space="preserve"> (</w:t>
      </w:r>
      <w:r w:rsidR="00EE5B66">
        <w:rPr>
          <w:rFonts w:ascii="Rockwell" w:eastAsiaTheme="minorEastAsia" w:hAnsi="Rockwell" w:cs="Times New Roman"/>
          <w:b/>
          <w:i/>
          <w:sz w:val="30"/>
          <w:szCs w:val="30"/>
        </w:rPr>
        <w:t>f</w:t>
      </w:r>
      <w:r>
        <w:rPr>
          <w:rFonts w:ascii="Rockwell" w:eastAsiaTheme="minorEastAsia" w:hAnsi="Rockwell" w:cs="Times New Roman"/>
          <w:b/>
          <w:i/>
          <w:sz w:val="30"/>
          <w:szCs w:val="30"/>
        </w:rPr>
        <w:t>)</w:t>
      </w:r>
      <w:r w:rsidR="00EE5B66">
        <w:rPr>
          <w:rFonts w:ascii="Rockwell" w:eastAsiaTheme="minorEastAsia" w:hAnsi="Rockwell" w:cs="Times New Roman"/>
          <w:b/>
          <w:i/>
          <w:sz w:val="30"/>
          <w:szCs w:val="30"/>
        </w:rPr>
        <w:tab/>
        <w:t>the additional evidence must not be so voluminous making it difficult or impossible for the other party to respond effectively;</w:t>
      </w:r>
    </w:p>
    <w:p w14:paraId="5D2EE7AF" w14:textId="6D7DEA9A" w:rsidR="00DD3629" w:rsidRDefault="004A3927" w:rsidP="004A3927">
      <w:pPr>
        <w:spacing w:before="240" w:after="0" w:line="276" w:lineRule="auto"/>
        <w:ind w:left="1890" w:hanging="630"/>
        <w:contextualSpacing/>
        <w:jc w:val="both"/>
        <w:rPr>
          <w:rFonts w:ascii="Rockwell" w:eastAsiaTheme="minorEastAsia" w:hAnsi="Rockwell" w:cs="Times New Roman"/>
          <w:b/>
          <w:i/>
          <w:sz w:val="30"/>
          <w:szCs w:val="30"/>
        </w:rPr>
      </w:pPr>
      <w:r>
        <w:rPr>
          <w:rFonts w:ascii="Rockwell" w:eastAsiaTheme="minorEastAsia" w:hAnsi="Rockwell" w:cs="Times New Roman"/>
          <w:b/>
          <w:i/>
          <w:sz w:val="30"/>
          <w:szCs w:val="30"/>
        </w:rPr>
        <w:t xml:space="preserve"> (</w:t>
      </w:r>
      <w:r w:rsidR="00EE5B66">
        <w:rPr>
          <w:rFonts w:ascii="Rockwell" w:eastAsiaTheme="minorEastAsia" w:hAnsi="Rockwell" w:cs="Times New Roman"/>
          <w:b/>
          <w:i/>
          <w:sz w:val="30"/>
          <w:szCs w:val="30"/>
        </w:rPr>
        <w:t>g</w:t>
      </w:r>
      <w:r>
        <w:rPr>
          <w:rFonts w:ascii="Rockwell" w:eastAsiaTheme="minorEastAsia" w:hAnsi="Rockwell" w:cs="Times New Roman"/>
          <w:b/>
          <w:i/>
          <w:sz w:val="30"/>
          <w:szCs w:val="30"/>
        </w:rPr>
        <w:t>)</w:t>
      </w:r>
      <w:r w:rsidR="00EE5B66">
        <w:rPr>
          <w:rFonts w:ascii="Rockwell" w:eastAsiaTheme="minorEastAsia" w:hAnsi="Rockwell" w:cs="Times New Roman"/>
          <w:b/>
          <w:i/>
          <w:sz w:val="30"/>
          <w:szCs w:val="30"/>
        </w:rPr>
        <w:tab/>
        <w:t>whether a party would reasonably have been aware of and procured the further evidence in the course of trial is an essential consideration to ensure fairness and due process;</w:t>
      </w:r>
    </w:p>
    <w:p w14:paraId="5D2EE7B0" w14:textId="2838D167" w:rsidR="00DD3629" w:rsidRDefault="004A3927" w:rsidP="004A3927">
      <w:pPr>
        <w:spacing w:before="240" w:after="0" w:line="276" w:lineRule="auto"/>
        <w:ind w:left="1890" w:hanging="630"/>
        <w:contextualSpacing/>
        <w:jc w:val="both"/>
        <w:rPr>
          <w:rFonts w:ascii="Rockwell" w:eastAsiaTheme="minorEastAsia" w:hAnsi="Rockwell" w:cs="Times New Roman"/>
          <w:b/>
          <w:i/>
          <w:sz w:val="30"/>
          <w:szCs w:val="30"/>
        </w:rPr>
      </w:pPr>
      <w:r>
        <w:rPr>
          <w:rFonts w:ascii="Rockwell" w:eastAsiaTheme="minorEastAsia" w:hAnsi="Rockwell" w:cs="Times New Roman"/>
          <w:b/>
          <w:i/>
          <w:sz w:val="30"/>
          <w:szCs w:val="30"/>
        </w:rPr>
        <w:t xml:space="preserve"> (</w:t>
      </w:r>
      <w:r w:rsidR="00EE5B66">
        <w:rPr>
          <w:rFonts w:ascii="Rockwell" w:eastAsiaTheme="minorEastAsia" w:hAnsi="Rockwell" w:cs="Times New Roman"/>
          <w:b/>
          <w:i/>
          <w:sz w:val="30"/>
          <w:szCs w:val="30"/>
        </w:rPr>
        <w:t>h</w:t>
      </w:r>
      <w:r>
        <w:rPr>
          <w:rFonts w:ascii="Rockwell" w:eastAsiaTheme="minorEastAsia" w:hAnsi="Rockwell" w:cs="Times New Roman"/>
          <w:b/>
          <w:i/>
          <w:sz w:val="30"/>
          <w:szCs w:val="30"/>
        </w:rPr>
        <w:t>)</w:t>
      </w:r>
      <w:r w:rsidR="00EE5B66">
        <w:rPr>
          <w:rFonts w:ascii="Rockwell" w:eastAsiaTheme="minorEastAsia" w:hAnsi="Rockwell" w:cs="Times New Roman"/>
          <w:b/>
          <w:i/>
          <w:sz w:val="30"/>
          <w:szCs w:val="30"/>
        </w:rPr>
        <w:tab/>
        <w:t>where the additional evidence discloses a strong prima facie case of willful deception of the Court;</w:t>
      </w:r>
    </w:p>
    <w:p w14:paraId="5D2EE7B1" w14:textId="4581F32F" w:rsidR="00DD3629" w:rsidRDefault="004A3927" w:rsidP="004A3927">
      <w:pPr>
        <w:spacing w:before="240" w:after="0" w:line="276" w:lineRule="auto"/>
        <w:ind w:left="1890" w:hanging="630"/>
        <w:contextualSpacing/>
        <w:jc w:val="both"/>
        <w:rPr>
          <w:rFonts w:ascii="Rockwell" w:eastAsiaTheme="minorEastAsia" w:hAnsi="Rockwell" w:cs="Times New Roman"/>
          <w:b/>
          <w:i/>
          <w:sz w:val="30"/>
          <w:szCs w:val="30"/>
        </w:rPr>
      </w:pPr>
      <w:r>
        <w:rPr>
          <w:rFonts w:ascii="Rockwell" w:eastAsiaTheme="minorEastAsia" w:hAnsi="Rockwell" w:cs="Times New Roman"/>
          <w:b/>
          <w:i/>
          <w:sz w:val="30"/>
          <w:szCs w:val="30"/>
        </w:rPr>
        <w:t xml:space="preserve"> (</w:t>
      </w:r>
      <w:proofErr w:type="spellStart"/>
      <w:r w:rsidR="00EE5B66">
        <w:rPr>
          <w:rFonts w:ascii="Rockwell" w:eastAsiaTheme="minorEastAsia" w:hAnsi="Rockwell" w:cs="Times New Roman"/>
          <w:b/>
          <w:i/>
          <w:sz w:val="30"/>
          <w:szCs w:val="30"/>
        </w:rPr>
        <w:t>i</w:t>
      </w:r>
      <w:proofErr w:type="spellEnd"/>
      <w:r>
        <w:rPr>
          <w:rFonts w:ascii="Rockwell" w:eastAsiaTheme="minorEastAsia" w:hAnsi="Rockwell" w:cs="Times New Roman"/>
          <w:b/>
          <w:i/>
          <w:sz w:val="30"/>
          <w:szCs w:val="30"/>
        </w:rPr>
        <w:t>)</w:t>
      </w:r>
      <w:r w:rsidR="00EE5B66">
        <w:rPr>
          <w:rFonts w:ascii="Rockwell" w:eastAsiaTheme="minorEastAsia" w:hAnsi="Rockwell" w:cs="Times New Roman"/>
          <w:b/>
          <w:i/>
          <w:sz w:val="30"/>
          <w:szCs w:val="30"/>
        </w:rPr>
        <w:tab/>
        <w:t>the Court must be satisfied that the additional evidence is not utilized for the purpose of removing lacunae and filling gaps in evidence. The Court must find the further evidence needful.</w:t>
      </w:r>
    </w:p>
    <w:p w14:paraId="5D2EE7B2" w14:textId="419D53BE" w:rsidR="00DD3629" w:rsidRDefault="004A3927" w:rsidP="004A3927">
      <w:pPr>
        <w:spacing w:before="240" w:after="0" w:line="276" w:lineRule="auto"/>
        <w:ind w:left="1890" w:hanging="630"/>
        <w:contextualSpacing/>
        <w:jc w:val="both"/>
        <w:rPr>
          <w:rFonts w:ascii="Rockwell" w:eastAsiaTheme="minorEastAsia" w:hAnsi="Rockwell" w:cs="Times New Roman"/>
          <w:b/>
          <w:i/>
          <w:sz w:val="30"/>
          <w:szCs w:val="30"/>
        </w:rPr>
      </w:pPr>
      <w:r>
        <w:rPr>
          <w:rFonts w:ascii="Rockwell" w:eastAsiaTheme="minorEastAsia" w:hAnsi="Rockwell" w:cs="Times New Roman"/>
          <w:b/>
          <w:i/>
          <w:sz w:val="30"/>
          <w:szCs w:val="30"/>
        </w:rPr>
        <w:lastRenderedPageBreak/>
        <w:t xml:space="preserve"> (</w:t>
      </w:r>
      <w:r w:rsidR="00EE5B66">
        <w:rPr>
          <w:rFonts w:ascii="Rockwell" w:eastAsiaTheme="minorEastAsia" w:hAnsi="Rockwell" w:cs="Times New Roman"/>
          <w:b/>
          <w:i/>
          <w:sz w:val="30"/>
          <w:szCs w:val="30"/>
        </w:rPr>
        <w:t>j</w:t>
      </w:r>
      <w:r>
        <w:rPr>
          <w:rFonts w:ascii="Rockwell" w:eastAsiaTheme="minorEastAsia" w:hAnsi="Rockwell" w:cs="Times New Roman"/>
          <w:b/>
          <w:i/>
          <w:sz w:val="30"/>
          <w:szCs w:val="30"/>
        </w:rPr>
        <w:t>)</w:t>
      </w:r>
      <w:r w:rsidR="00EE5B66">
        <w:rPr>
          <w:rFonts w:ascii="Rockwell" w:eastAsiaTheme="minorEastAsia" w:hAnsi="Rockwell" w:cs="Times New Roman"/>
          <w:b/>
          <w:i/>
          <w:sz w:val="30"/>
          <w:szCs w:val="30"/>
        </w:rPr>
        <w:tab/>
        <w:t>a party who has been unsuccessful at the trial must not seek to adduce additional evidence to, make a fresh case in appeal, fill up omissions or patch up the weak points in his/her case.</w:t>
      </w:r>
    </w:p>
    <w:p w14:paraId="5D2EE7B4" w14:textId="4B9B062E" w:rsidR="00DD3629" w:rsidRPr="003A6561" w:rsidRDefault="004A3927" w:rsidP="003A6561">
      <w:pPr>
        <w:spacing w:before="240" w:after="0" w:line="276" w:lineRule="auto"/>
        <w:ind w:left="1890" w:hanging="630"/>
        <w:contextualSpacing/>
        <w:jc w:val="both"/>
        <w:rPr>
          <w:rFonts w:ascii="Rockwell" w:eastAsiaTheme="minorEastAsia" w:hAnsi="Rockwell" w:cs="Times New Roman"/>
          <w:b/>
          <w:i/>
          <w:sz w:val="30"/>
          <w:szCs w:val="30"/>
        </w:rPr>
      </w:pPr>
      <w:r>
        <w:rPr>
          <w:rFonts w:ascii="Rockwell" w:eastAsiaTheme="minorEastAsia" w:hAnsi="Rockwell" w:cs="Times New Roman"/>
          <w:b/>
          <w:i/>
          <w:sz w:val="30"/>
          <w:szCs w:val="30"/>
        </w:rPr>
        <w:t xml:space="preserve"> (</w:t>
      </w:r>
      <w:r w:rsidR="00EE5B66">
        <w:rPr>
          <w:rFonts w:ascii="Rockwell" w:eastAsiaTheme="minorEastAsia" w:hAnsi="Rockwell" w:cs="Times New Roman"/>
          <w:b/>
          <w:i/>
          <w:sz w:val="30"/>
          <w:szCs w:val="30"/>
        </w:rPr>
        <w:t>k</w:t>
      </w:r>
      <w:r>
        <w:rPr>
          <w:rFonts w:ascii="Rockwell" w:eastAsiaTheme="minorEastAsia" w:hAnsi="Rockwell" w:cs="Times New Roman"/>
          <w:b/>
          <w:i/>
          <w:sz w:val="30"/>
          <w:szCs w:val="30"/>
        </w:rPr>
        <w:t>)</w:t>
      </w:r>
      <w:r w:rsidR="00EE5B66">
        <w:rPr>
          <w:rFonts w:ascii="Rockwell" w:eastAsiaTheme="minorEastAsia" w:hAnsi="Rockwell" w:cs="Times New Roman"/>
          <w:b/>
          <w:i/>
          <w:sz w:val="30"/>
          <w:szCs w:val="30"/>
        </w:rPr>
        <w:tab/>
        <w:t>the court will consider the proportionality and prejudice of allowing the additional evidence. This requires the court to assess the balance between the significance of the additional evidence, on the one hand, and the need for the swift conduct of litigation together with any prejudice that might arise from the additional evidence on the other</w:t>
      </w:r>
      <w:r>
        <w:rPr>
          <w:rFonts w:ascii="Rockwell" w:eastAsiaTheme="minorEastAsia" w:hAnsi="Rockwell" w:cs="Times New Roman"/>
          <w:b/>
          <w:i/>
          <w:sz w:val="30"/>
          <w:szCs w:val="30"/>
        </w:rPr>
        <w:t>……</w:t>
      </w:r>
      <w:r w:rsidR="00EE5B66">
        <w:rPr>
          <w:rFonts w:ascii="Rockwell" w:eastAsiaTheme="minorEastAsia" w:hAnsi="Rockwell" w:cs="Times New Roman"/>
          <w:b/>
          <w:i/>
          <w:sz w:val="30"/>
          <w:szCs w:val="30"/>
        </w:rPr>
        <w:t>”</w:t>
      </w:r>
    </w:p>
    <w:p w14:paraId="5D2EE7BC" w14:textId="24DE06A5" w:rsidR="00DD3629" w:rsidRDefault="00EE5B66" w:rsidP="00964184">
      <w:pPr>
        <w:pStyle w:val="ListParagraph"/>
        <w:numPr>
          <w:ilvl w:val="0"/>
          <w:numId w:val="1"/>
        </w:numPr>
        <w:tabs>
          <w:tab w:val="left" w:pos="360"/>
        </w:tabs>
        <w:spacing w:before="240" w:after="0" w:line="360" w:lineRule="auto"/>
        <w:ind w:left="90" w:hanging="450"/>
        <w:jc w:val="both"/>
        <w:rPr>
          <w:rFonts w:ascii="Rockwell" w:eastAsiaTheme="minorEastAsia" w:hAnsi="Rockwell" w:cs="Times New Roman"/>
          <w:bCs/>
          <w:iCs/>
          <w:sz w:val="30"/>
          <w:szCs w:val="30"/>
        </w:rPr>
      </w:pPr>
      <w:r>
        <w:rPr>
          <w:rFonts w:ascii="Rockwell" w:eastAsiaTheme="minorEastAsia" w:hAnsi="Rockwell" w:cs="Times New Roman"/>
          <w:bCs/>
          <w:iCs/>
          <w:sz w:val="30"/>
          <w:szCs w:val="30"/>
        </w:rPr>
        <w:t xml:space="preserve">Therefore, whereas whether or not to grant leave to adduce additional evidence is in the discretion of the court, the court must bear in mind and </w:t>
      </w:r>
      <w:r w:rsidR="004A3927">
        <w:rPr>
          <w:rFonts w:ascii="Rockwell" w:eastAsiaTheme="minorEastAsia" w:hAnsi="Rockwell" w:cs="Times New Roman"/>
          <w:bCs/>
          <w:iCs/>
          <w:sz w:val="30"/>
          <w:szCs w:val="30"/>
        </w:rPr>
        <w:t xml:space="preserve">must </w:t>
      </w:r>
      <w:r>
        <w:rPr>
          <w:rFonts w:ascii="Rockwell" w:eastAsiaTheme="minorEastAsia" w:hAnsi="Rockwell" w:cs="Times New Roman"/>
          <w:bCs/>
          <w:iCs/>
          <w:sz w:val="30"/>
          <w:szCs w:val="30"/>
        </w:rPr>
        <w:t xml:space="preserve">be guided by </w:t>
      </w:r>
      <w:r w:rsidR="004A3927">
        <w:rPr>
          <w:rFonts w:ascii="Rockwell" w:eastAsiaTheme="minorEastAsia" w:hAnsi="Rockwell" w:cs="Times New Roman"/>
          <w:bCs/>
          <w:iCs/>
          <w:sz w:val="30"/>
          <w:szCs w:val="30"/>
        </w:rPr>
        <w:t>the above</w:t>
      </w:r>
      <w:r>
        <w:rPr>
          <w:rFonts w:ascii="Rockwell" w:eastAsiaTheme="minorEastAsia" w:hAnsi="Rockwell" w:cs="Times New Roman"/>
          <w:bCs/>
          <w:iCs/>
          <w:sz w:val="30"/>
          <w:szCs w:val="30"/>
        </w:rPr>
        <w:t xml:space="preserve"> principles</w:t>
      </w:r>
      <w:r w:rsidR="00D749D5">
        <w:rPr>
          <w:rFonts w:ascii="Rockwell" w:eastAsiaTheme="minorEastAsia" w:hAnsi="Rockwell" w:cs="Times New Roman"/>
          <w:bCs/>
          <w:iCs/>
          <w:sz w:val="30"/>
          <w:szCs w:val="30"/>
        </w:rPr>
        <w:t xml:space="preserve"> albeit noting that each application must be decided on its own merits</w:t>
      </w:r>
      <w:r>
        <w:rPr>
          <w:rFonts w:ascii="Rockwell" w:eastAsiaTheme="minorEastAsia" w:hAnsi="Rockwell" w:cs="Times New Roman"/>
          <w:bCs/>
          <w:iCs/>
          <w:sz w:val="30"/>
          <w:szCs w:val="30"/>
        </w:rPr>
        <w:t xml:space="preserve">. The discretion is not to be exercised at a whim or </w:t>
      </w:r>
      <w:r w:rsidR="00D749D5">
        <w:rPr>
          <w:rFonts w:ascii="Rockwell" w:eastAsiaTheme="minorEastAsia" w:hAnsi="Rockwell" w:cs="Times New Roman"/>
          <w:bCs/>
          <w:iCs/>
          <w:sz w:val="30"/>
          <w:szCs w:val="30"/>
        </w:rPr>
        <w:t>arbitrarily.</w:t>
      </w:r>
      <w:r>
        <w:rPr>
          <w:rFonts w:ascii="Rockwell" w:eastAsiaTheme="minorEastAsia" w:hAnsi="Rockwell" w:cs="Times New Roman"/>
          <w:bCs/>
          <w:iCs/>
          <w:sz w:val="30"/>
          <w:szCs w:val="30"/>
        </w:rPr>
        <w:t xml:space="preserve">  </w:t>
      </w:r>
    </w:p>
    <w:p w14:paraId="11CCE52B" w14:textId="77777777" w:rsidR="00E767DD" w:rsidRPr="00964184" w:rsidRDefault="00E767DD" w:rsidP="00E767DD">
      <w:pPr>
        <w:pStyle w:val="ListParagraph"/>
        <w:tabs>
          <w:tab w:val="left" w:pos="360"/>
        </w:tabs>
        <w:spacing w:before="240" w:after="0" w:line="360" w:lineRule="auto"/>
        <w:ind w:left="90"/>
        <w:jc w:val="both"/>
        <w:rPr>
          <w:rFonts w:ascii="Rockwell" w:eastAsiaTheme="minorEastAsia" w:hAnsi="Rockwell" w:cs="Times New Roman"/>
          <w:bCs/>
          <w:iCs/>
          <w:sz w:val="30"/>
          <w:szCs w:val="30"/>
        </w:rPr>
      </w:pPr>
    </w:p>
    <w:p w14:paraId="23C71894" w14:textId="13B2CBB3" w:rsidR="00651AF4" w:rsidRPr="007552E9" w:rsidRDefault="00EE5B66" w:rsidP="00651AF4">
      <w:pPr>
        <w:pStyle w:val="ListParagraph"/>
        <w:numPr>
          <w:ilvl w:val="0"/>
          <w:numId w:val="1"/>
        </w:numPr>
        <w:tabs>
          <w:tab w:val="left" w:pos="360"/>
        </w:tabs>
        <w:spacing w:before="240" w:after="0" w:line="360" w:lineRule="auto"/>
        <w:ind w:left="90" w:hanging="450"/>
        <w:jc w:val="both"/>
        <w:rPr>
          <w:rFonts w:ascii="Rockwell" w:eastAsiaTheme="minorEastAsia" w:hAnsi="Rockwell" w:cs="Times New Roman"/>
          <w:b/>
          <w:sz w:val="30"/>
          <w:szCs w:val="30"/>
          <w:u w:val="single"/>
        </w:rPr>
      </w:pPr>
      <w:r w:rsidRPr="007552E9">
        <w:rPr>
          <w:rFonts w:ascii="Rockwell" w:eastAsiaTheme="minorEastAsia" w:hAnsi="Rockwell" w:cs="Times New Roman"/>
          <w:bCs/>
          <w:iCs/>
          <w:sz w:val="30"/>
          <w:szCs w:val="30"/>
        </w:rPr>
        <w:t xml:space="preserve">I have considered the additional evidence sought to be introduced by the Appellant.  The same is in the </w:t>
      </w:r>
      <w:r w:rsidR="007552E9" w:rsidRPr="007552E9">
        <w:rPr>
          <w:rFonts w:ascii="Rockwell" w:eastAsiaTheme="minorEastAsia" w:hAnsi="Rockwell" w:cs="Times New Roman"/>
          <w:bCs/>
          <w:iCs/>
          <w:sz w:val="30"/>
          <w:szCs w:val="30"/>
        </w:rPr>
        <w:t xml:space="preserve">form of  </w:t>
      </w:r>
      <w:r w:rsidR="00964184" w:rsidRPr="007552E9">
        <w:rPr>
          <w:rFonts w:ascii="Rockwell" w:eastAsiaTheme="minorEastAsia" w:hAnsi="Rockwell" w:cs="Times New Roman"/>
          <w:bCs/>
          <w:iCs/>
          <w:sz w:val="30"/>
          <w:szCs w:val="30"/>
        </w:rPr>
        <w:t xml:space="preserve"> the certificate of incorporation and trust deed of the Christian Broadcasting Network Kenya limited. These documents indeed will demonstrate the date of incorporation of the appellant</w:t>
      </w:r>
      <w:r w:rsidR="007552E9" w:rsidRPr="007552E9">
        <w:rPr>
          <w:rFonts w:ascii="Rockwell" w:eastAsiaTheme="minorEastAsia" w:hAnsi="Rockwell" w:cs="Times New Roman"/>
          <w:bCs/>
          <w:iCs/>
          <w:sz w:val="30"/>
          <w:szCs w:val="30"/>
        </w:rPr>
        <w:t>.</w:t>
      </w:r>
      <w:r w:rsidRPr="007552E9">
        <w:rPr>
          <w:rFonts w:ascii="Rockwell" w:eastAsiaTheme="minorEastAsia" w:hAnsi="Rockwell" w:cs="Times New Roman"/>
          <w:bCs/>
          <w:iCs/>
          <w:sz w:val="30"/>
          <w:szCs w:val="30"/>
        </w:rPr>
        <w:t xml:space="preserve"> The </w:t>
      </w:r>
      <w:r w:rsidR="00D749D5" w:rsidRPr="007552E9">
        <w:rPr>
          <w:rFonts w:ascii="Rockwell" w:eastAsiaTheme="minorEastAsia" w:hAnsi="Rockwell" w:cs="Times New Roman"/>
          <w:bCs/>
          <w:iCs/>
          <w:sz w:val="30"/>
          <w:szCs w:val="30"/>
        </w:rPr>
        <w:t>evidence is</w:t>
      </w:r>
      <w:r w:rsidRPr="007552E9">
        <w:rPr>
          <w:rFonts w:ascii="Rockwell" w:eastAsiaTheme="minorEastAsia" w:hAnsi="Rockwell" w:cs="Times New Roman"/>
          <w:bCs/>
          <w:iCs/>
          <w:sz w:val="30"/>
          <w:szCs w:val="30"/>
        </w:rPr>
        <w:t xml:space="preserve"> in my view relevant to the issue in dispute between the parties in this appeal and the Appellant/Applicant </w:t>
      </w:r>
      <w:r w:rsidR="00D749D5" w:rsidRPr="007552E9">
        <w:rPr>
          <w:rFonts w:ascii="Rockwell" w:eastAsiaTheme="minorEastAsia" w:hAnsi="Rockwell" w:cs="Times New Roman"/>
          <w:bCs/>
          <w:iCs/>
          <w:sz w:val="30"/>
          <w:szCs w:val="30"/>
        </w:rPr>
        <w:t>h</w:t>
      </w:r>
      <w:r w:rsidRPr="007552E9">
        <w:rPr>
          <w:rFonts w:ascii="Rockwell" w:eastAsiaTheme="minorEastAsia" w:hAnsi="Rockwell" w:cs="Times New Roman"/>
          <w:bCs/>
          <w:iCs/>
          <w:sz w:val="30"/>
          <w:szCs w:val="30"/>
        </w:rPr>
        <w:t xml:space="preserve">as given a plausible explanation as to why </w:t>
      </w:r>
      <w:r w:rsidR="00D749D5" w:rsidRPr="007552E9">
        <w:rPr>
          <w:rFonts w:ascii="Rockwell" w:eastAsiaTheme="minorEastAsia" w:hAnsi="Rockwell" w:cs="Times New Roman"/>
          <w:bCs/>
          <w:iCs/>
          <w:sz w:val="30"/>
          <w:szCs w:val="30"/>
        </w:rPr>
        <w:t>the evidence was</w:t>
      </w:r>
      <w:r w:rsidRPr="007552E9">
        <w:rPr>
          <w:rFonts w:ascii="Rockwell" w:eastAsiaTheme="minorEastAsia" w:hAnsi="Rockwell" w:cs="Times New Roman"/>
          <w:bCs/>
          <w:iCs/>
          <w:sz w:val="30"/>
          <w:szCs w:val="30"/>
        </w:rPr>
        <w:t xml:space="preserve"> not available to him during the trial in the magistrate</w:t>
      </w:r>
      <w:r w:rsidR="007552E9" w:rsidRPr="007552E9">
        <w:rPr>
          <w:rFonts w:ascii="Rockwell" w:eastAsiaTheme="minorEastAsia" w:hAnsi="Rockwell" w:cs="Times New Roman"/>
          <w:bCs/>
          <w:iCs/>
          <w:sz w:val="30"/>
          <w:szCs w:val="30"/>
        </w:rPr>
        <w:t xml:space="preserve">’s court. </w:t>
      </w:r>
      <w:r w:rsidRPr="007552E9">
        <w:rPr>
          <w:rFonts w:ascii="Rockwell" w:eastAsiaTheme="minorEastAsia" w:hAnsi="Rockwell" w:cs="Times New Roman"/>
          <w:bCs/>
          <w:iCs/>
          <w:sz w:val="30"/>
          <w:szCs w:val="30"/>
        </w:rPr>
        <w:t xml:space="preserve">I am also not </w:t>
      </w:r>
      <w:r w:rsidR="009C4004">
        <w:rPr>
          <w:rFonts w:ascii="Rockwell" w:eastAsiaTheme="minorEastAsia" w:hAnsi="Rockwell" w:cs="Times New Roman"/>
          <w:bCs/>
          <w:iCs/>
          <w:sz w:val="30"/>
          <w:szCs w:val="30"/>
        </w:rPr>
        <w:t>persuaded</w:t>
      </w:r>
      <w:r w:rsidRPr="007552E9">
        <w:rPr>
          <w:rFonts w:ascii="Rockwell" w:eastAsiaTheme="minorEastAsia" w:hAnsi="Rockwell" w:cs="Times New Roman"/>
          <w:bCs/>
          <w:iCs/>
          <w:sz w:val="30"/>
          <w:szCs w:val="30"/>
        </w:rPr>
        <w:t xml:space="preserve"> that admitting th</w:t>
      </w:r>
      <w:r w:rsidR="00D749D5" w:rsidRPr="007552E9">
        <w:rPr>
          <w:rFonts w:ascii="Rockwell" w:eastAsiaTheme="minorEastAsia" w:hAnsi="Rockwell" w:cs="Times New Roman"/>
          <w:bCs/>
          <w:iCs/>
          <w:sz w:val="30"/>
          <w:szCs w:val="30"/>
        </w:rPr>
        <w:t>e</w:t>
      </w:r>
      <w:r w:rsidRPr="007552E9">
        <w:rPr>
          <w:rFonts w:ascii="Rockwell" w:eastAsiaTheme="minorEastAsia" w:hAnsi="Rockwell" w:cs="Times New Roman"/>
          <w:bCs/>
          <w:iCs/>
          <w:sz w:val="30"/>
          <w:szCs w:val="30"/>
        </w:rPr>
        <w:t xml:space="preserve"> evidence will compromise or prejudice the Respondent’s </w:t>
      </w:r>
      <w:r w:rsidR="007552E9">
        <w:rPr>
          <w:rFonts w:ascii="Rockwell" w:eastAsiaTheme="minorEastAsia" w:hAnsi="Rockwell" w:cs="Times New Roman"/>
          <w:bCs/>
          <w:iCs/>
          <w:sz w:val="30"/>
          <w:szCs w:val="30"/>
        </w:rPr>
        <w:t>case.</w:t>
      </w:r>
    </w:p>
    <w:p w14:paraId="6BB67B50" w14:textId="0C55021D" w:rsidR="00651AF4" w:rsidRPr="00651AF4" w:rsidRDefault="00EE5B66" w:rsidP="00651AF4">
      <w:pPr>
        <w:pStyle w:val="ListParagraph"/>
        <w:tabs>
          <w:tab w:val="left" w:pos="360"/>
        </w:tabs>
        <w:spacing w:before="240" w:after="0" w:line="360" w:lineRule="auto"/>
        <w:ind w:left="90"/>
        <w:jc w:val="both"/>
        <w:rPr>
          <w:rFonts w:ascii="Rockwell" w:eastAsiaTheme="minorEastAsia" w:hAnsi="Rockwell" w:cs="Times New Roman"/>
          <w:bCs/>
          <w:iCs/>
          <w:sz w:val="30"/>
          <w:szCs w:val="30"/>
        </w:rPr>
      </w:pPr>
      <w:r w:rsidRPr="00651AF4">
        <w:rPr>
          <w:rFonts w:ascii="Rockwell" w:eastAsiaTheme="minorEastAsia" w:hAnsi="Rockwell" w:cs="Times New Roman"/>
          <w:b/>
          <w:sz w:val="30"/>
          <w:szCs w:val="30"/>
          <w:u w:val="single"/>
        </w:rPr>
        <w:t>DISPOSITION</w:t>
      </w:r>
    </w:p>
    <w:p w14:paraId="0D5856D7" w14:textId="56B3D712" w:rsidR="003A6561" w:rsidRPr="00651AF4" w:rsidRDefault="00EE5B66" w:rsidP="00651AF4">
      <w:pPr>
        <w:pStyle w:val="ListParagraph"/>
        <w:numPr>
          <w:ilvl w:val="0"/>
          <w:numId w:val="1"/>
        </w:numPr>
        <w:tabs>
          <w:tab w:val="left" w:pos="360"/>
        </w:tabs>
        <w:spacing w:before="240" w:after="0" w:line="360" w:lineRule="auto"/>
        <w:ind w:left="90" w:hanging="450"/>
        <w:jc w:val="both"/>
        <w:rPr>
          <w:rFonts w:ascii="Rockwell" w:eastAsiaTheme="minorEastAsia" w:hAnsi="Rockwell" w:cs="Times New Roman"/>
          <w:bCs/>
          <w:iCs/>
          <w:sz w:val="30"/>
          <w:szCs w:val="30"/>
        </w:rPr>
      </w:pPr>
      <w:r w:rsidRPr="00651AF4">
        <w:rPr>
          <w:rFonts w:ascii="Rockwell" w:eastAsiaTheme="minorEastAsia" w:hAnsi="Rockwell" w:cs="Times New Roman"/>
          <w:bCs/>
          <w:sz w:val="30"/>
          <w:szCs w:val="30"/>
        </w:rPr>
        <w:lastRenderedPageBreak/>
        <w:t>Accordingly, I find merit in the Appel</w:t>
      </w:r>
      <w:r w:rsidR="007552E9">
        <w:rPr>
          <w:rFonts w:ascii="Rockwell" w:eastAsiaTheme="minorEastAsia" w:hAnsi="Rockwell" w:cs="Times New Roman"/>
          <w:bCs/>
          <w:sz w:val="30"/>
          <w:szCs w:val="30"/>
        </w:rPr>
        <w:t>lants’ Notice of Motion dated 7</w:t>
      </w:r>
      <w:r w:rsidR="007552E9" w:rsidRPr="007552E9">
        <w:rPr>
          <w:rFonts w:ascii="Rockwell" w:eastAsiaTheme="minorEastAsia" w:hAnsi="Rockwell" w:cs="Times New Roman"/>
          <w:bCs/>
          <w:sz w:val="30"/>
          <w:szCs w:val="30"/>
          <w:vertAlign w:val="superscript"/>
        </w:rPr>
        <w:t>th</w:t>
      </w:r>
      <w:r w:rsidR="007552E9">
        <w:rPr>
          <w:rFonts w:ascii="Rockwell" w:eastAsiaTheme="minorEastAsia" w:hAnsi="Rockwell" w:cs="Times New Roman"/>
          <w:bCs/>
          <w:sz w:val="30"/>
          <w:szCs w:val="30"/>
        </w:rPr>
        <w:t xml:space="preserve"> April 2025</w:t>
      </w:r>
      <w:r w:rsidRPr="00651AF4">
        <w:rPr>
          <w:rFonts w:ascii="Rockwell" w:eastAsiaTheme="minorEastAsia" w:hAnsi="Rockwell" w:cs="Times New Roman"/>
          <w:bCs/>
          <w:sz w:val="30"/>
          <w:szCs w:val="30"/>
        </w:rPr>
        <w:t xml:space="preserve"> and grant</w:t>
      </w:r>
      <w:r w:rsidR="003A6561" w:rsidRPr="00651AF4">
        <w:rPr>
          <w:rFonts w:ascii="Rockwell" w:eastAsiaTheme="minorEastAsia" w:hAnsi="Rockwell" w:cs="Times New Roman"/>
          <w:bCs/>
          <w:sz w:val="30"/>
          <w:szCs w:val="30"/>
        </w:rPr>
        <w:t xml:space="preserve"> orders as follows: -</w:t>
      </w:r>
    </w:p>
    <w:p w14:paraId="35AD75B8" w14:textId="4D3D5E74" w:rsidR="003A6561" w:rsidRDefault="003A6561" w:rsidP="003A6561">
      <w:pPr>
        <w:pStyle w:val="ListParagraph"/>
        <w:numPr>
          <w:ilvl w:val="0"/>
          <w:numId w:val="5"/>
        </w:numPr>
        <w:spacing w:before="240" w:after="0" w:line="360" w:lineRule="auto"/>
        <w:ind w:hanging="540"/>
        <w:jc w:val="both"/>
        <w:rPr>
          <w:rFonts w:ascii="Rockwell" w:eastAsiaTheme="minorEastAsia" w:hAnsi="Rockwell" w:cs="Times New Roman"/>
          <w:b/>
          <w:sz w:val="30"/>
          <w:szCs w:val="30"/>
        </w:rPr>
      </w:pPr>
      <w:r w:rsidRPr="003A6561">
        <w:rPr>
          <w:rFonts w:ascii="Rockwell" w:eastAsiaTheme="minorEastAsia" w:hAnsi="Rockwell" w:cs="Times New Roman"/>
          <w:b/>
          <w:sz w:val="30"/>
          <w:szCs w:val="30"/>
        </w:rPr>
        <w:t>That l</w:t>
      </w:r>
      <w:r w:rsidR="00EE5B66" w:rsidRPr="003A6561">
        <w:rPr>
          <w:rFonts w:ascii="Rockwell" w:eastAsiaTheme="minorEastAsia" w:hAnsi="Rockwell" w:cs="Times New Roman"/>
          <w:b/>
          <w:sz w:val="30"/>
          <w:szCs w:val="30"/>
        </w:rPr>
        <w:t xml:space="preserve">eave </w:t>
      </w:r>
      <w:r w:rsidRPr="003A6561">
        <w:rPr>
          <w:rFonts w:ascii="Rockwell" w:eastAsiaTheme="minorEastAsia" w:hAnsi="Rockwell" w:cs="Times New Roman"/>
          <w:b/>
          <w:sz w:val="30"/>
          <w:szCs w:val="30"/>
        </w:rPr>
        <w:t xml:space="preserve">be and is hereby granted </w:t>
      </w:r>
      <w:r w:rsidR="00EE5B66" w:rsidRPr="003A6561">
        <w:rPr>
          <w:rFonts w:ascii="Rockwell" w:eastAsiaTheme="minorEastAsia" w:hAnsi="Rockwell" w:cs="Times New Roman"/>
          <w:b/>
          <w:sz w:val="30"/>
          <w:szCs w:val="30"/>
        </w:rPr>
        <w:t>to adduce and file additional evidence limited to the following documents</w:t>
      </w:r>
      <w:r w:rsidR="00EE5B66" w:rsidRPr="003A6561">
        <w:rPr>
          <w:rFonts w:ascii="Rockwell" w:eastAsiaTheme="minorEastAsia" w:hAnsi="Rockwell" w:cs="Times New Roman"/>
          <w:bCs/>
          <w:sz w:val="30"/>
          <w:szCs w:val="30"/>
        </w:rPr>
        <w:t>:</w:t>
      </w:r>
    </w:p>
    <w:p w14:paraId="46C9BBD1" w14:textId="155D252A" w:rsidR="003A6561" w:rsidRPr="003A6561" w:rsidRDefault="00651AF4" w:rsidP="00651AF4">
      <w:pPr>
        <w:pStyle w:val="ListParagraph"/>
        <w:numPr>
          <w:ilvl w:val="0"/>
          <w:numId w:val="6"/>
        </w:numPr>
        <w:spacing w:before="240" w:after="0" w:line="360" w:lineRule="auto"/>
        <w:ind w:left="2520"/>
        <w:jc w:val="both"/>
        <w:rPr>
          <w:rFonts w:ascii="Rockwell" w:eastAsiaTheme="minorEastAsia" w:hAnsi="Rockwell" w:cs="Times New Roman"/>
          <w:b/>
          <w:sz w:val="30"/>
          <w:szCs w:val="30"/>
        </w:rPr>
      </w:pPr>
      <w:r>
        <w:rPr>
          <w:rFonts w:ascii="Rockwell" w:eastAsiaTheme="minorEastAsia" w:hAnsi="Rockwell" w:cs="Times New Roman"/>
          <w:b/>
          <w:bCs/>
          <w:iCs/>
          <w:sz w:val="30"/>
          <w:szCs w:val="30"/>
        </w:rPr>
        <w:t xml:space="preserve"> </w:t>
      </w:r>
      <w:r w:rsidR="007552E9">
        <w:rPr>
          <w:rFonts w:ascii="Rockwell" w:eastAsiaTheme="minorEastAsia" w:hAnsi="Rockwell" w:cs="Times New Roman"/>
          <w:b/>
          <w:bCs/>
          <w:iCs/>
          <w:sz w:val="30"/>
          <w:szCs w:val="30"/>
        </w:rPr>
        <w:t>The Certificate of Incorporation for the Christian Broadcasting Network (CBN) Kenya Ltd</w:t>
      </w:r>
      <w:r w:rsidR="00EE5B66" w:rsidRPr="003A6561">
        <w:rPr>
          <w:rFonts w:ascii="Rockwell" w:eastAsiaTheme="minorEastAsia" w:hAnsi="Rockwell" w:cs="Times New Roman"/>
          <w:b/>
          <w:bCs/>
          <w:iCs/>
          <w:sz w:val="30"/>
          <w:szCs w:val="30"/>
        </w:rPr>
        <w:t>.</w:t>
      </w:r>
    </w:p>
    <w:p w14:paraId="5D2EE7C3" w14:textId="089348D1" w:rsidR="00DD3629" w:rsidRPr="007552E9" w:rsidRDefault="007552E9" w:rsidP="007552E9">
      <w:pPr>
        <w:pStyle w:val="ListParagraph"/>
        <w:numPr>
          <w:ilvl w:val="0"/>
          <w:numId w:val="6"/>
        </w:numPr>
        <w:spacing w:before="240" w:after="0" w:line="360" w:lineRule="auto"/>
        <w:ind w:left="2520"/>
        <w:jc w:val="both"/>
        <w:rPr>
          <w:rFonts w:ascii="Rockwell" w:eastAsiaTheme="minorEastAsia" w:hAnsi="Rockwell" w:cs="Times New Roman"/>
          <w:b/>
          <w:sz w:val="30"/>
          <w:szCs w:val="30"/>
        </w:rPr>
      </w:pPr>
      <w:r>
        <w:rPr>
          <w:rFonts w:ascii="Rockwell" w:eastAsiaTheme="minorEastAsia" w:hAnsi="Rockwell" w:cs="Times New Roman"/>
          <w:b/>
          <w:bCs/>
          <w:iCs/>
          <w:sz w:val="30"/>
          <w:szCs w:val="30"/>
        </w:rPr>
        <w:t xml:space="preserve"> Trust Deed for Christian Broadcasting Network (CBN).</w:t>
      </w:r>
    </w:p>
    <w:p w14:paraId="3F5E6839" w14:textId="2ECD33DD" w:rsidR="003A6561" w:rsidRDefault="00EE5B66" w:rsidP="003A6561">
      <w:pPr>
        <w:pStyle w:val="ListParagraph"/>
        <w:numPr>
          <w:ilvl w:val="0"/>
          <w:numId w:val="5"/>
        </w:numPr>
        <w:spacing w:before="240" w:after="0" w:line="360" w:lineRule="auto"/>
        <w:ind w:left="1170" w:hanging="630"/>
        <w:jc w:val="both"/>
        <w:rPr>
          <w:rFonts w:ascii="Rockwell" w:eastAsiaTheme="minorEastAsia" w:hAnsi="Rockwell" w:cs="Times New Roman"/>
          <w:b/>
          <w:sz w:val="30"/>
          <w:szCs w:val="30"/>
        </w:rPr>
      </w:pPr>
      <w:r>
        <w:rPr>
          <w:rFonts w:ascii="Rockwell" w:eastAsiaTheme="minorEastAsia" w:hAnsi="Rockwell" w:cs="Times New Roman"/>
          <w:b/>
          <w:sz w:val="30"/>
          <w:szCs w:val="30"/>
        </w:rPr>
        <w:t xml:space="preserve">The additional evidence shall be adduced by means of a Supplementary Record of Appeal to be filed and served within </w:t>
      </w:r>
      <w:r w:rsidR="009C4004">
        <w:rPr>
          <w:rFonts w:ascii="Rockwell" w:eastAsiaTheme="minorEastAsia" w:hAnsi="Rockwell" w:cs="Times New Roman"/>
          <w:b/>
          <w:sz w:val="30"/>
          <w:szCs w:val="30"/>
        </w:rPr>
        <w:t>fourteen (14)</w:t>
      </w:r>
      <w:r>
        <w:rPr>
          <w:rFonts w:ascii="Rockwell" w:eastAsiaTheme="minorEastAsia" w:hAnsi="Rockwell" w:cs="Times New Roman"/>
          <w:b/>
          <w:sz w:val="30"/>
          <w:szCs w:val="30"/>
        </w:rPr>
        <w:t xml:space="preserve"> days of the date of this </w:t>
      </w:r>
      <w:r w:rsidR="009C4004">
        <w:rPr>
          <w:rFonts w:ascii="Rockwell" w:eastAsiaTheme="minorEastAsia" w:hAnsi="Rockwell" w:cs="Times New Roman"/>
          <w:b/>
          <w:sz w:val="30"/>
          <w:szCs w:val="30"/>
        </w:rPr>
        <w:t>r</w:t>
      </w:r>
      <w:r>
        <w:rPr>
          <w:rFonts w:ascii="Rockwell" w:eastAsiaTheme="minorEastAsia" w:hAnsi="Rockwell" w:cs="Times New Roman"/>
          <w:b/>
          <w:sz w:val="30"/>
          <w:szCs w:val="30"/>
        </w:rPr>
        <w:t>uling.</w:t>
      </w:r>
    </w:p>
    <w:p w14:paraId="5D2EE7C5" w14:textId="5A83F639" w:rsidR="00DD3629" w:rsidRDefault="00EE5B66" w:rsidP="003A6561">
      <w:pPr>
        <w:pStyle w:val="ListParagraph"/>
        <w:numPr>
          <w:ilvl w:val="0"/>
          <w:numId w:val="5"/>
        </w:numPr>
        <w:spacing w:before="240" w:after="0" w:line="360" w:lineRule="auto"/>
        <w:ind w:left="1170" w:hanging="630"/>
        <w:jc w:val="both"/>
        <w:rPr>
          <w:rFonts w:ascii="Rockwell" w:eastAsiaTheme="minorEastAsia" w:hAnsi="Rockwell" w:cs="Times New Roman"/>
          <w:b/>
          <w:sz w:val="30"/>
          <w:szCs w:val="30"/>
        </w:rPr>
      </w:pPr>
      <w:r w:rsidRPr="003A6561">
        <w:rPr>
          <w:rFonts w:ascii="Rockwell" w:eastAsiaTheme="minorEastAsia" w:hAnsi="Rockwell" w:cs="Times New Roman"/>
          <w:b/>
          <w:sz w:val="30"/>
          <w:szCs w:val="30"/>
        </w:rPr>
        <w:t>The costs of this application shall be</w:t>
      </w:r>
      <w:r w:rsidR="00A742F6">
        <w:rPr>
          <w:rFonts w:ascii="Rockwell" w:eastAsiaTheme="minorEastAsia" w:hAnsi="Rockwell" w:cs="Times New Roman"/>
          <w:b/>
          <w:sz w:val="30"/>
          <w:szCs w:val="30"/>
        </w:rPr>
        <w:t xml:space="preserve"> borne by the Appellant</w:t>
      </w:r>
      <w:r w:rsidRPr="003A6561">
        <w:rPr>
          <w:rFonts w:ascii="Rockwell" w:eastAsiaTheme="minorEastAsia" w:hAnsi="Rockwell" w:cs="Times New Roman"/>
          <w:b/>
          <w:sz w:val="30"/>
          <w:szCs w:val="30"/>
        </w:rPr>
        <w:t>.</w:t>
      </w:r>
    </w:p>
    <w:p w14:paraId="1C43AA40" w14:textId="68639832" w:rsidR="009C4004" w:rsidRPr="00F44CF6" w:rsidRDefault="009C4004" w:rsidP="009C4004">
      <w:pPr>
        <w:spacing w:before="240" w:after="0" w:line="360" w:lineRule="auto"/>
        <w:jc w:val="both"/>
        <w:rPr>
          <w:rFonts w:ascii="Rockwell" w:eastAsiaTheme="minorEastAsia" w:hAnsi="Rockwell" w:cs="Times New Roman"/>
          <w:sz w:val="30"/>
          <w:szCs w:val="30"/>
        </w:rPr>
      </w:pPr>
      <w:r w:rsidRPr="00F44CF6">
        <w:rPr>
          <w:rFonts w:ascii="Rockwell" w:eastAsiaTheme="minorEastAsia" w:hAnsi="Rockwell" w:cs="Times New Roman"/>
          <w:sz w:val="30"/>
          <w:szCs w:val="30"/>
        </w:rPr>
        <w:t>Orders accordingly.</w:t>
      </w:r>
    </w:p>
    <w:p w14:paraId="4FD2AF8D" w14:textId="599B4D79" w:rsidR="009C4004" w:rsidRDefault="009C4004" w:rsidP="009C4004">
      <w:pPr>
        <w:spacing w:before="240" w:after="0" w:line="360" w:lineRule="auto"/>
        <w:jc w:val="both"/>
        <w:rPr>
          <w:rFonts w:ascii="Rockwell" w:eastAsiaTheme="minorEastAsia" w:hAnsi="Rockwell" w:cs="Times New Roman"/>
          <w:b/>
          <w:sz w:val="30"/>
          <w:szCs w:val="30"/>
        </w:rPr>
      </w:pPr>
      <w:r>
        <w:rPr>
          <w:rFonts w:ascii="Rockwell" w:eastAsiaTheme="minorEastAsia" w:hAnsi="Rockwell" w:cs="Times New Roman"/>
          <w:b/>
          <w:sz w:val="30"/>
          <w:szCs w:val="30"/>
        </w:rPr>
        <w:t>Ruling signed, dated an</w:t>
      </w:r>
      <w:r w:rsidR="00E767DD">
        <w:rPr>
          <w:rFonts w:ascii="Rockwell" w:eastAsiaTheme="minorEastAsia" w:hAnsi="Rockwell" w:cs="Times New Roman"/>
          <w:b/>
          <w:sz w:val="30"/>
          <w:szCs w:val="30"/>
        </w:rPr>
        <w:t>d delivered virtually on this 14</w:t>
      </w:r>
      <w:r w:rsidR="00E767DD">
        <w:rPr>
          <w:rFonts w:ascii="Rockwell" w:eastAsiaTheme="minorEastAsia" w:hAnsi="Rockwell" w:cs="Times New Roman"/>
          <w:b/>
          <w:sz w:val="30"/>
          <w:szCs w:val="30"/>
          <w:vertAlign w:val="superscript"/>
        </w:rPr>
        <w:t>th</w:t>
      </w:r>
      <w:r>
        <w:rPr>
          <w:rFonts w:ascii="Rockwell" w:eastAsiaTheme="minorEastAsia" w:hAnsi="Rockwell" w:cs="Times New Roman"/>
          <w:b/>
          <w:sz w:val="30"/>
          <w:szCs w:val="30"/>
        </w:rPr>
        <w:t xml:space="preserve"> day of November 2025.</w:t>
      </w:r>
    </w:p>
    <w:p w14:paraId="532F9C23" w14:textId="7C805C9D" w:rsidR="009C4004" w:rsidRDefault="009C4004" w:rsidP="00E767DD">
      <w:pPr>
        <w:spacing w:before="240" w:after="0" w:line="276" w:lineRule="auto"/>
        <w:jc w:val="center"/>
        <w:rPr>
          <w:rFonts w:ascii="Rockwell" w:eastAsiaTheme="minorEastAsia" w:hAnsi="Rockwell" w:cs="Times New Roman"/>
          <w:b/>
          <w:sz w:val="30"/>
          <w:szCs w:val="30"/>
        </w:rPr>
      </w:pPr>
      <w:r>
        <w:rPr>
          <w:rFonts w:ascii="Rockwell" w:eastAsiaTheme="minorEastAsia" w:hAnsi="Rockwell" w:cs="Times New Roman"/>
          <w:b/>
          <w:sz w:val="30"/>
          <w:szCs w:val="30"/>
        </w:rPr>
        <w:t>E N MAINA</w:t>
      </w:r>
    </w:p>
    <w:p w14:paraId="2CF85E77" w14:textId="636DE380" w:rsidR="009C4004" w:rsidRDefault="009C4004" w:rsidP="00E767DD">
      <w:pPr>
        <w:spacing w:before="240" w:after="0" w:line="276" w:lineRule="auto"/>
        <w:jc w:val="center"/>
        <w:rPr>
          <w:rFonts w:ascii="Rockwell" w:eastAsiaTheme="minorEastAsia" w:hAnsi="Rockwell" w:cs="Times New Roman"/>
          <w:b/>
          <w:sz w:val="30"/>
          <w:szCs w:val="30"/>
        </w:rPr>
      </w:pPr>
      <w:r>
        <w:rPr>
          <w:rFonts w:ascii="Rockwell" w:eastAsiaTheme="minorEastAsia" w:hAnsi="Rockwell" w:cs="Times New Roman"/>
          <w:b/>
          <w:sz w:val="30"/>
          <w:szCs w:val="30"/>
        </w:rPr>
        <w:t>JUDGE</w:t>
      </w:r>
    </w:p>
    <w:p w14:paraId="5B357061" w14:textId="77777777" w:rsidR="00E767DD" w:rsidRDefault="00E767DD" w:rsidP="009C4004">
      <w:pPr>
        <w:spacing w:before="240" w:after="0" w:line="360" w:lineRule="auto"/>
        <w:jc w:val="both"/>
        <w:rPr>
          <w:rFonts w:ascii="Rockwell" w:eastAsiaTheme="minorEastAsia" w:hAnsi="Rockwell" w:cs="Times New Roman"/>
          <w:b/>
          <w:sz w:val="30"/>
          <w:szCs w:val="30"/>
          <w:u w:val="single"/>
        </w:rPr>
      </w:pPr>
    </w:p>
    <w:p w14:paraId="4BFEAFE5" w14:textId="750A674F" w:rsidR="009C4004" w:rsidRDefault="009C4004" w:rsidP="009C4004">
      <w:pPr>
        <w:spacing w:before="240" w:after="0" w:line="360" w:lineRule="auto"/>
        <w:jc w:val="both"/>
        <w:rPr>
          <w:rFonts w:ascii="Rockwell" w:eastAsiaTheme="minorEastAsia" w:hAnsi="Rockwell" w:cs="Times New Roman"/>
          <w:b/>
          <w:sz w:val="30"/>
          <w:szCs w:val="30"/>
        </w:rPr>
      </w:pPr>
      <w:r w:rsidRPr="00E767DD">
        <w:rPr>
          <w:rFonts w:ascii="Rockwell" w:eastAsiaTheme="minorEastAsia" w:hAnsi="Rockwell" w:cs="Times New Roman"/>
          <w:b/>
          <w:sz w:val="30"/>
          <w:szCs w:val="30"/>
          <w:u w:val="single"/>
        </w:rPr>
        <w:t>IN PRESENCE OF</w:t>
      </w:r>
      <w:r>
        <w:rPr>
          <w:rFonts w:ascii="Rockwell" w:eastAsiaTheme="minorEastAsia" w:hAnsi="Rockwell" w:cs="Times New Roman"/>
          <w:b/>
          <w:sz w:val="30"/>
          <w:szCs w:val="30"/>
        </w:rPr>
        <w:t>:</w:t>
      </w:r>
    </w:p>
    <w:p w14:paraId="6FC1A692" w14:textId="3B2169C2" w:rsidR="00F44CF6" w:rsidRPr="00F44CF6" w:rsidRDefault="00F44CF6" w:rsidP="009C4004">
      <w:pPr>
        <w:spacing w:before="240" w:after="0" w:line="360" w:lineRule="auto"/>
        <w:jc w:val="both"/>
        <w:rPr>
          <w:rFonts w:ascii="Rockwell" w:eastAsiaTheme="minorEastAsia" w:hAnsi="Rockwell" w:cs="Times New Roman"/>
          <w:sz w:val="30"/>
          <w:szCs w:val="30"/>
        </w:rPr>
      </w:pPr>
      <w:r w:rsidRPr="00F44CF6">
        <w:rPr>
          <w:rFonts w:ascii="Rockwell" w:eastAsiaTheme="minorEastAsia" w:hAnsi="Rockwell" w:cs="Times New Roman"/>
          <w:sz w:val="30"/>
          <w:szCs w:val="30"/>
        </w:rPr>
        <w:t xml:space="preserve">Mr. Edwin Otieno for Mr. </w:t>
      </w:r>
      <w:proofErr w:type="spellStart"/>
      <w:r w:rsidRPr="00F44CF6">
        <w:rPr>
          <w:rFonts w:ascii="Rockwell" w:eastAsiaTheme="minorEastAsia" w:hAnsi="Rockwell" w:cs="Times New Roman"/>
          <w:sz w:val="30"/>
          <w:szCs w:val="30"/>
        </w:rPr>
        <w:t>Anzala</w:t>
      </w:r>
      <w:proofErr w:type="spellEnd"/>
      <w:r w:rsidRPr="00F44CF6">
        <w:rPr>
          <w:rFonts w:ascii="Rockwell" w:eastAsiaTheme="minorEastAsia" w:hAnsi="Rockwell" w:cs="Times New Roman"/>
          <w:sz w:val="30"/>
          <w:szCs w:val="30"/>
        </w:rPr>
        <w:t xml:space="preserve"> </w:t>
      </w:r>
      <w:proofErr w:type="spellStart"/>
      <w:r w:rsidRPr="00F44CF6">
        <w:rPr>
          <w:rFonts w:ascii="Rockwell" w:eastAsiaTheme="minorEastAsia" w:hAnsi="Rockwell" w:cs="Times New Roman"/>
          <w:sz w:val="30"/>
          <w:szCs w:val="30"/>
        </w:rPr>
        <w:t>Adv</w:t>
      </w:r>
      <w:proofErr w:type="spellEnd"/>
      <w:r w:rsidRPr="00F44CF6">
        <w:rPr>
          <w:rFonts w:ascii="Rockwell" w:eastAsiaTheme="minorEastAsia" w:hAnsi="Rockwell" w:cs="Times New Roman"/>
          <w:sz w:val="30"/>
          <w:szCs w:val="30"/>
        </w:rPr>
        <w:t xml:space="preserve"> for the Applicant/appellant</w:t>
      </w:r>
    </w:p>
    <w:p w14:paraId="0BE30B7A" w14:textId="425B3233" w:rsidR="00F44CF6" w:rsidRPr="00F44CF6" w:rsidRDefault="00F44CF6" w:rsidP="009C4004">
      <w:pPr>
        <w:spacing w:before="240" w:after="0" w:line="360" w:lineRule="auto"/>
        <w:jc w:val="both"/>
        <w:rPr>
          <w:rFonts w:ascii="Rockwell" w:eastAsiaTheme="minorEastAsia" w:hAnsi="Rockwell" w:cs="Times New Roman"/>
          <w:sz w:val="30"/>
          <w:szCs w:val="30"/>
        </w:rPr>
      </w:pPr>
      <w:r w:rsidRPr="00F44CF6">
        <w:rPr>
          <w:rFonts w:ascii="Rockwell" w:eastAsiaTheme="minorEastAsia" w:hAnsi="Rockwell" w:cs="Times New Roman"/>
          <w:sz w:val="30"/>
          <w:szCs w:val="30"/>
        </w:rPr>
        <w:t xml:space="preserve">Ms Mole for the Respondent </w:t>
      </w:r>
    </w:p>
    <w:p w14:paraId="5D2EE7D1" w14:textId="76C09BE6" w:rsidR="00DD3629" w:rsidRPr="00F44CF6" w:rsidRDefault="00F44CF6" w:rsidP="00F44CF6">
      <w:pPr>
        <w:spacing w:before="240" w:after="0" w:line="360" w:lineRule="auto"/>
        <w:jc w:val="both"/>
        <w:rPr>
          <w:rFonts w:ascii="Rockwell" w:eastAsiaTheme="minorEastAsia" w:hAnsi="Rockwell" w:cs="Times New Roman"/>
          <w:sz w:val="30"/>
          <w:szCs w:val="30"/>
        </w:rPr>
      </w:pPr>
      <w:r w:rsidRPr="00F44CF6">
        <w:rPr>
          <w:rFonts w:ascii="Rockwell" w:eastAsiaTheme="minorEastAsia" w:hAnsi="Rockwell" w:cs="Times New Roman"/>
          <w:sz w:val="30"/>
          <w:szCs w:val="30"/>
        </w:rPr>
        <w:t xml:space="preserve">C/A:  Geoffrey </w:t>
      </w:r>
      <w:bookmarkStart w:id="0" w:name="_GoBack"/>
      <w:bookmarkEnd w:id="0"/>
    </w:p>
    <w:sectPr w:rsidR="00DD3629" w:rsidRPr="00F44CF6" w:rsidSect="00E767DD">
      <w:headerReference w:type="even" r:id="rId7"/>
      <w:headerReference w:type="default" r:id="rId8"/>
      <w:footerReference w:type="even" r:id="rId9"/>
      <w:footerReference w:type="default" r:id="rId10"/>
      <w:headerReference w:type="first" r:id="rId11"/>
      <w:footerReference w:type="first" r:id="rId12"/>
      <w:pgSz w:w="12240" w:h="15840"/>
      <w:pgMar w:top="851" w:right="900" w:bottom="1134"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2EB0A" w14:textId="77777777" w:rsidR="001F4425" w:rsidRDefault="001F4425">
      <w:pPr>
        <w:spacing w:line="240" w:lineRule="auto"/>
      </w:pPr>
      <w:r>
        <w:separator/>
      </w:r>
    </w:p>
  </w:endnote>
  <w:endnote w:type="continuationSeparator" w:id="0">
    <w:p w14:paraId="4C43E993" w14:textId="77777777" w:rsidR="001F4425" w:rsidRDefault="001F44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等线">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423B5" w14:textId="77777777" w:rsidR="00584BFF" w:rsidRDefault="00584B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269238"/>
      <w:docPartObj>
        <w:docPartGallery w:val="Page Numbers (Bottom of Page)"/>
        <w:docPartUnique/>
      </w:docPartObj>
    </w:sdtPr>
    <w:sdtEndPr>
      <w:rPr>
        <w:noProof/>
      </w:rPr>
    </w:sdtEndPr>
    <w:sdtContent>
      <w:p w14:paraId="755ABFC4" w14:textId="692B5286" w:rsidR="007552E9" w:rsidRDefault="007552E9">
        <w:pPr>
          <w:pStyle w:val="Footer"/>
          <w:jc w:val="right"/>
        </w:pPr>
        <w:r>
          <w:fldChar w:fldCharType="begin"/>
        </w:r>
        <w:r>
          <w:instrText xml:space="preserve"> PAGE   \* MERGEFORMAT </w:instrText>
        </w:r>
        <w:r>
          <w:fldChar w:fldCharType="separate"/>
        </w:r>
        <w:r w:rsidR="00F44CF6">
          <w:rPr>
            <w:noProof/>
          </w:rPr>
          <w:t>6</w:t>
        </w:r>
        <w:r>
          <w:rPr>
            <w:noProof/>
          </w:rPr>
          <w:fldChar w:fldCharType="end"/>
        </w:r>
      </w:p>
    </w:sdtContent>
  </w:sdt>
  <w:p w14:paraId="5D2EE7DB" w14:textId="77777777" w:rsidR="0000411F" w:rsidRDefault="000041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F2CDB" w14:textId="77777777" w:rsidR="00584BFF" w:rsidRDefault="00584B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38C07" w14:textId="77777777" w:rsidR="001F4425" w:rsidRDefault="001F4425">
      <w:pPr>
        <w:spacing w:after="0"/>
      </w:pPr>
      <w:r>
        <w:separator/>
      </w:r>
    </w:p>
  </w:footnote>
  <w:footnote w:type="continuationSeparator" w:id="0">
    <w:p w14:paraId="084E3036" w14:textId="77777777" w:rsidR="001F4425" w:rsidRDefault="001F442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4FDD1" w14:textId="57622A56" w:rsidR="00584BFF" w:rsidRDefault="001F4425">
    <w:pPr>
      <w:pStyle w:val="Header"/>
    </w:pPr>
    <w:r>
      <w:rPr>
        <w:noProof/>
      </w:rPr>
      <w:pict w14:anchorId="41363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9922" o:spid="_x0000_s2050" type="#_x0000_t136" style="position:absolute;margin-left:0;margin-top:0;width:516.8pt;height:193.8pt;rotation:315;z-index:-251655168;mso-position-horizontal:center;mso-position-horizontal-relative:margin;mso-position-vertical:center;mso-position-vertical-relative:margin" o:allowincell="f" fillcolor="silver" stroked="f">
          <v:textpath style="font-family:&quot;Calibri&quot;;font-size:1pt" string="ORIG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B9C22" w14:textId="57B9F79D" w:rsidR="00584BFF" w:rsidRDefault="001F4425">
    <w:pPr>
      <w:pStyle w:val="Header"/>
    </w:pPr>
    <w:r>
      <w:rPr>
        <w:noProof/>
      </w:rPr>
      <w:pict w14:anchorId="51DAF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9923" o:spid="_x0000_s2051" type="#_x0000_t136" style="position:absolute;margin-left:0;margin-top:0;width:516.8pt;height:193.8pt;rotation:315;z-index:-251653120;mso-position-horizontal:center;mso-position-horizontal-relative:margin;mso-position-vertical:center;mso-position-vertical-relative:margin" o:allowincell="f" fillcolor="silver" stroked="f">
          <v:textpath style="font-family:&quot;Calibri&quot;;font-size:1pt" string="ORIGIN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F1D03" w14:textId="1FF8AEAA" w:rsidR="00584BFF" w:rsidRDefault="001F4425">
    <w:pPr>
      <w:pStyle w:val="Header"/>
    </w:pPr>
    <w:r>
      <w:rPr>
        <w:noProof/>
      </w:rPr>
      <w:pict w14:anchorId="53C74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9921" o:spid="_x0000_s2049" type="#_x0000_t136" style="position:absolute;margin-left:0;margin-top:0;width:516.8pt;height:193.8pt;rotation:315;z-index:-251657216;mso-position-horizontal:center;mso-position-horizontal-relative:margin;mso-position-vertical:center;mso-position-vertical-relative:margin" o:allowincell="f" fillcolor="silver" stroked="f">
          <v:textpath style="font-family:&quot;Calibri&quot;;font-size:1pt" string="ORIG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B7BDF"/>
    <w:multiLevelType w:val="multilevel"/>
    <w:tmpl w:val="330B7BDF"/>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
    <w:nsid w:val="38D05184"/>
    <w:multiLevelType w:val="hybridMultilevel"/>
    <w:tmpl w:val="9C4C7936"/>
    <w:lvl w:ilvl="0" w:tplc="ADA2A576">
      <w:start w:val="1"/>
      <w:numFmt w:val="lowerLetter"/>
      <w:lvlText w:val="(%1)"/>
      <w:lvlJc w:val="left"/>
      <w:pPr>
        <w:ind w:left="990" w:hanging="720"/>
      </w:pPr>
      <w:rPr>
        <w:rFonts w:ascii="Rockwell" w:eastAsiaTheme="minorEastAsia" w:hAnsi="Rockwell" w:cs="Times New Roman"/>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419124E2"/>
    <w:multiLevelType w:val="multilevel"/>
    <w:tmpl w:val="419124E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45C9057C"/>
    <w:multiLevelType w:val="multilevel"/>
    <w:tmpl w:val="45C905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7D27418"/>
    <w:multiLevelType w:val="hybridMultilevel"/>
    <w:tmpl w:val="B65426F6"/>
    <w:lvl w:ilvl="0" w:tplc="65D03AE4">
      <w:start w:val="1"/>
      <w:numFmt w:val="lowerRoman"/>
      <w:lvlText w:val="(%1)"/>
      <w:lvlJc w:val="left"/>
      <w:pPr>
        <w:ind w:left="1335" w:hanging="1080"/>
      </w:pPr>
      <w:rPr>
        <w:rFonts w:hint="default"/>
        <w:b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nsid w:val="781057DE"/>
    <w:multiLevelType w:val="hybridMultilevel"/>
    <w:tmpl w:val="D7686D08"/>
    <w:lvl w:ilvl="0" w:tplc="FD7073F4">
      <w:start w:val="1"/>
      <w:numFmt w:val="lowerRoman"/>
      <w:lvlText w:val="(%1)"/>
      <w:lvlJc w:val="left"/>
      <w:pPr>
        <w:ind w:left="1260" w:hanging="108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B7"/>
    <w:rsid w:val="0000411F"/>
    <w:rsid w:val="00010352"/>
    <w:rsid w:val="00021BBC"/>
    <w:rsid w:val="00027515"/>
    <w:rsid w:val="000275EA"/>
    <w:rsid w:val="000359F9"/>
    <w:rsid w:val="00037783"/>
    <w:rsid w:val="00057AB4"/>
    <w:rsid w:val="00077DA7"/>
    <w:rsid w:val="00086424"/>
    <w:rsid w:val="00097643"/>
    <w:rsid w:val="000A4F27"/>
    <w:rsid w:val="000B60A2"/>
    <w:rsid w:val="000C18C4"/>
    <w:rsid w:val="000C5B6E"/>
    <w:rsid w:val="000C71C2"/>
    <w:rsid w:val="000D1F0D"/>
    <w:rsid w:val="000E0849"/>
    <w:rsid w:val="000E5DB5"/>
    <w:rsid w:val="000F016B"/>
    <w:rsid w:val="000F06DB"/>
    <w:rsid w:val="00105F32"/>
    <w:rsid w:val="001308C9"/>
    <w:rsid w:val="0014031F"/>
    <w:rsid w:val="0014241D"/>
    <w:rsid w:val="0014333F"/>
    <w:rsid w:val="00150929"/>
    <w:rsid w:val="00160175"/>
    <w:rsid w:val="00185B68"/>
    <w:rsid w:val="00197F46"/>
    <w:rsid w:val="001A08CD"/>
    <w:rsid w:val="001A796D"/>
    <w:rsid w:val="001E3206"/>
    <w:rsid w:val="001F4425"/>
    <w:rsid w:val="001F5711"/>
    <w:rsid w:val="001F755F"/>
    <w:rsid w:val="001F7B27"/>
    <w:rsid w:val="00205D19"/>
    <w:rsid w:val="002145BB"/>
    <w:rsid w:val="0022533C"/>
    <w:rsid w:val="00241954"/>
    <w:rsid w:val="00243D4E"/>
    <w:rsid w:val="00255414"/>
    <w:rsid w:val="00256191"/>
    <w:rsid w:val="00286D39"/>
    <w:rsid w:val="00287BEC"/>
    <w:rsid w:val="0029348E"/>
    <w:rsid w:val="002955E2"/>
    <w:rsid w:val="002A093C"/>
    <w:rsid w:val="002B231A"/>
    <w:rsid w:val="002D7E3E"/>
    <w:rsid w:val="002F2B62"/>
    <w:rsid w:val="002F39A3"/>
    <w:rsid w:val="00304334"/>
    <w:rsid w:val="003050F6"/>
    <w:rsid w:val="00305370"/>
    <w:rsid w:val="003130B8"/>
    <w:rsid w:val="00316B51"/>
    <w:rsid w:val="00320E80"/>
    <w:rsid w:val="00344013"/>
    <w:rsid w:val="00356BF5"/>
    <w:rsid w:val="0039089E"/>
    <w:rsid w:val="0039299F"/>
    <w:rsid w:val="003942BE"/>
    <w:rsid w:val="003A6561"/>
    <w:rsid w:val="003B1830"/>
    <w:rsid w:val="003C14EE"/>
    <w:rsid w:val="003C7A63"/>
    <w:rsid w:val="003D2031"/>
    <w:rsid w:val="003D26DC"/>
    <w:rsid w:val="003D3319"/>
    <w:rsid w:val="003D3A18"/>
    <w:rsid w:val="003F6548"/>
    <w:rsid w:val="0040545B"/>
    <w:rsid w:val="00416358"/>
    <w:rsid w:val="00422C7F"/>
    <w:rsid w:val="004348F4"/>
    <w:rsid w:val="00442E55"/>
    <w:rsid w:val="004432C4"/>
    <w:rsid w:val="004519C5"/>
    <w:rsid w:val="004A1FCF"/>
    <w:rsid w:val="004A3927"/>
    <w:rsid w:val="004A6011"/>
    <w:rsid w:val="004A6DDC"/>
    <w:rsid w:val="004A6FC0"/>
    <w:rsid w:val="004D2FD3"/>
    <w:rsid w:val="004D46EF"/>
    <w:rsid w:val="004F32A4"/>
    <w:rsid w:val="004F652C"/>
    <w:rsid w:val="00522138"/>
    <w:rsid w:val="00523D3D"/>
    <w:rsid w:val="00535DAA"/>
    <w:rsid w:val="00537D69"/>
    <w:rsid w:val="005800D6"/>
    <w:rsid w:val="00582920"/>
    <w:rsid w:val="00584BFF"/>
    <w:rsid w:val="005858C5"/>
    <w:rsid w:val="0059094F"/>
    <w:rsid w:val="00594082"/>
    <w:rsid w:val="005A7A40"/>
    <w:rsid w:val="005B2C63"/>
    <w:rsid w:val="005B7653"/>
    <w:rsid w:val="005C17BE"/>
    <w:rsid w:val="005C2C99"/>
    <w:rsid w:val="005D7F39"/>
    <w:rsid w:val="005E57E1"/>
    <w:rsid w:val="00612249"/>
    <w:rsid w:val="006128F9"/>
    <w:rsid w:val="00620641"/>
    <w:rsid w:val="0063256F"/>
    <w:rsid w:val="006341D4"/>
    <w:rsid w:val="00640B67"/>
    <w:rsid w:val="00643BA8"/>
    <w:rsid w:val="0064632F"/>
    <w:rsid w:val="00651AF4"/>
    <w:rsid w:val="00652206"/>
    <w:rsid w:val="00671C2D"/>
    <w:rsid w:val="00673A97"/>
    <w:rsid w:val="00674D19"/>
    <w:rsid w:val="00682372"/>
    <w:rsid w:val="0068504F"/>
    <w:rsid w:val="0069228E"/>
    <w:rsid w:val="006A089E"/>
    <w:rsid w:val="006A2D6B"/>
    <w:rsid w:val="006A5894"/>
    <w:rsid w:val="006B1CE0"/>
    <w:rsid w:val="006B1ED7"/>
    <w:rsid w:val="006B3D9C"/>
    <w:rsid w:val="006B7043"/>
    <w:rsid w:val="006D72E1"/>
    <w:rsid w:val="006E6F25"/>
    <w:rsid w:val="006E77BE"/>
    <w:rsid w:val="007067C6"/>
    <w:rsid w:val="007552E9"/>
    <w:rsid w:val="00755AE0"/>
    <w:rsid w:val="00757BC3"/>
    <w:rsid w:val="00767181"/>
    <w:rsid w:val="00767C46"/>
    <w:rsid w:val="00781143"/>
    <w:rsid w:val="00790880"/>
    <w:rsid w:val="00790C74"/>
    <w:rsid w:val="00792B47"/>
    <w:rsid w:val="00795CF0"/>
    <w:rsid w:val="007A0C22"/>
    <w:rsid w:val="007A36B5"/>
    <w:rsid w:val="007B1391"/>
    <w:rsid w:val="007B4109"/>
    <w:rsid w:val="007C3BB8"/>
    <w:rsid w:val="007D11B8"/>
    <w:rsid w:val="007D31D5"/>
    <w:rsid w:val="00814CD7"/>
    <w:rsid w:val="008203CF"/>
    <w:rsid w:val="0082640A"/>
    <w:rsid w:val="00830ED0"/>
    <w:rsid w:val="0083463D"/>
    <w:rsid w:val="00834B45"/>
    <w:rsid w:val="00842D3F"/>
    <w:rsid w:val="0085466B"/>
    <w:rsid w:val="00856DDF"/>
    <w:rsid w:val="00863217"/>
    <w:rsid w:val="00892841"/>
    <w:rsid w:val="0089731B"/>
    <w:rsid w:val="008A350F"/>
    <w:rsid w:val="008A496F"/>
    <w:rsid w:val="008B3C4D"/>
    <w:rsid w:val="008B7761"/>
    <w:rsid w:val="008C0D4B"/>
    <w:rsid w:val="008C526F"/>
    <w:rsid w:val="008D0826"/>
    <w:rsid w:val="009047AC"/>
    <w:rsid w:val="00904B74"/>
    <w:rsid w:val="00905813"/>
    <w:rsid w:val="00913149"/>
    <w:rsid w:val="009435E2"/>
    <w:rsid w:val="0094520D"/>
    <w:rsid w:val="00945E2D"/>
    <w:rsid w:val="00956767"/>
    <w:rsid w:val="00964184"/>
    <w:rsid w:val="00965286"/>
    <w:rsid w:val="009731E0"/>
    <w:rsid w:val="0099148E"/>
    <w:rsid w:val="00995796"/>
    <w:rsid w:val="009B686E"/>
    <w:rsid w:val="009C1163"/>
    <w:rsid w:val="009C4004"/>
    <w:rsid w:val="009C5419"/>
    <w:rsid w:val="009C6258"/>
    <w:rsid w:val="009C6DEC"/>
    <w:rsid w:val="009C71CB"/>
    <w:rsid w:val="009F5AE7"/>
    <w:rsid w:val="00A01942"/>
    <w:rsid w:val="00A02D96"/>
    <w:rsid w:val="00A05419"/>
    <w:rsid w:val="00A13D48"/>
    <w:rsid w:val="00A26A54"/>
    <w:rsid w:val="00A3267C"/>
    <w:rsid w:val="00A338E5"/>
    <w:rsid w:val="00A460CB"/>
    <w:rsid w:val="00A52E7D"/>
    <w:rsid w:val="00A70F26"/>
    <w:rsid w:val="00A742F6"/>
    <w:rsid w:val="00A94B31"/>
    <w:rsid w:val="00A97360"/>
    <w:rsid w:val="00AB0536"/>
    <w:rsid w:val="00AC079E"/>
    <w:rsid w:val="00AC4F46"/>
    <w:rsid w:val="00AD5AC8"/>
    <w:rsid w:val="00AD7F75"/>
    <w:rsid w:val="00AE1F8F"/>
    <w:rsid w:val="00AE7F4F"/>
    <w:rsid w:val="00AF1FFD"/>
    <w:rsid w:val="00AF5712"/>
    <w:rsid w:val="00B11BE1"/>
    <w:rsid w:val="00B121E6"/>
    <w:rsid w:val="00B1285C"/>
    <w:rsid w:val="00B4763F"/>
    <w:rsid w:val="00B47FEE"/>
    <w:rsid w:val="00B52C19"/>
    <w:rsid w:val="00B83EF4"/>
    <w:rsid w:val="00B879E1"/>
    <w:rsid w:val="00B91AA0"/>
    <w:rsid w:val="00BA193F"/>
    <w:rsid w:val="00BA3752"/>
    <w:rsid w:val="00BA51D0"/>
    <w:rsid w:val="00BB0C72"/>
    <w:rsid w:val="00BD55B7"/>
    <w:rsid w:val="00BE07E7"/>
    <w:rsid w:val="00BE69F0"/>
    <w:rsid w:val="00BE7D11"/>
    <w:rsid w:val="00BF0F62"/>
    <w:rsid w:val="00C04FCC"/>
    <w:rsid w:val="00C073ED"/>
    <w:rsid w:val="00C07F81"/>
    <w:rsid w:val="00C22DD1"/>
    <w:rsid w:val="00C411D1"/>
    <w:rsid w:val="00C50531"/>
    <w:rsid w:val="00C54EAA"/>
    <w:rsid w:val="00C7098D"/>
    <w:rsid w:val="00C86BF6"/>
    <w:rsid w:val="00CA37C6"/>
    <w:rsid w:val="00CB0AB1"/>
    <w:rsid w:val="00CB1C38"/>
    <w:rsid w:val="00CB7373"/>
    <w:rsid w:val="00CC15B7"/>
    <w:rsid w:val="00CF4FDC"/>
    <w:rsid w:val="00D01C45"/>
    <w:rsid w:val="00D12068"/>
    <w:rsid w:val="00D15C29"/>
    <w:rsid w:val="00D1661D"/>
    <w:rsid w:val="00D447D7"/>
    <w:rsid w:val="00D4771D"/>
    <w:rsid w:val="00D52C87"/>
    <w:rsid w:val="00D67A58"/>
    <w:rsid w:val="00D72BBA"/>
    <w:rsid w:val="00D749D5"/>
    <w:rsid w:val="00D75C38"/>
    <w:rsid w:val="00D81052"/>
    <w:rsid w:val="00D84327"/>
    <w:rsid w:val="00D849FE"/>
    <w:rsid w:val="00D84C57"/>
    <w:rsid w:val="00D95829"/>
    <w:rsid w:val="00DB735B"/>
    <w:rsid w:val="00DD3629"/>
    <w:rsid w:val="00E13444"/>
    <w:rsid w:val="00E25966"/>
    <w:rsid w:val="00E308BC"/>
    <w:rsid w:val="00E33488"/>
    <w:rsid w:val="00E34D0F"/>
    <w:rsid w:val="00E431BF"/>
    <w:rsid w:val="00E60194"/>
    <w:rsid w:val="00E72AB5"/>
    <w:rsid w:val="00E767DD"/>
    <w:rsid w:val="00E9696A"/>
    <w:rsid w:val="00EA3EB0"/>
    <w:rsid w:val="00EA5BD0"/>
    <w:rsid w:val="00EB29E6"/>
    <w:rsid w:val="00EC3ACF"/>
    <w:rsid w:val="00ED208C"/>
    <w:rsid w:val="00EE5B66"/>
    <w:rsid w:val="00EE7C1C"/>
    <w:rsid w:val="00EF0303"/>
    <w:rsid w:val="00F0425D"/>
    <w:rsid w:val="00F1586B"/>
    <w:rsid w:val="00F2223B"/>
    <w:rsid w:val="00F269A0"/>
    <w:rsid w:val="00F41C38"/>
    <w:rsid w:val="00F44CF6"/>
    <w:rsid w:val="00F46EAD"/>
    <w:rsid w:val="00F800C9"/>
    <w:rsid w:val="00F81397"/>
    <w:rsid w:val="00F9460B"/>
    <w:rsid w:val="00F970F3"/>
    <w:rsid w:val="00FA4EE9"/>
    <w:rsid w:val="00FA5CDE"/>
    <w:rsid w:val="00FB4296"/>
    <w:rsid w:val="00FC6E64"/>
    <w:rsid w:val="00FE0D22"/>
    <w:rsid w:val="00FE7698"/>
    <w:rsid w:val="0DE50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2EE783"/>
  <w15:docId w15:val="{5E9686E2-2FF2-4E6A-A294-6DD26160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NoSpacing">
    <w:name w:val="No Spacing"/>
    <w:basedOn w:val="Normal"/>
    <w:uiPriority w:val="99"/>
    <w:qFormat/>
    <w:pPr>
      <w:spacing w:before="100" w:beforeAutospacing="1"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MKS HCCA NO.E041 OF 2023</dc:creator>
  <cp:lastModifiedBy>Florence</cp:lastModifiedBy>
  <cp:revision>2</cp:revision>
  <cp:lastPrinted>2025-11-18T05:24:00Z</cp:lastPrinted>
  <dcterms:created xsi:type="dcterms:W3CDTF">2025-11-18T05:25:00Z</dcterms:created>
  <dcterms:modified xsi:type="dcterms:W3CDTF">2025-11-18T05:25:00Z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05FB345AE09740E1849EEBBA5A1E817E_12</vt:lpwstr>
  </property>
  <property fmtid="{D5CDD505-2E9C-101B-9397-08002B2CF9AE}" pid="4" name="GrammarlyDocumentId">
    <vt:lpwstr>8f692a61-16b5-4984-8d46-5ec542aa8be8</vt:lpwstr>
  </property>
</Properties>
</file>