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F0" w:rsidRPr="00FF6CBA" w:rsidRDefault="005E4EF0" w:rsidP="005E4EF0">
      <w:pPr>
        <w:jc w:val="center"/>
      </w:pPr>
      <w:bookmarkStart w:id="0" w:name="_GoBack"/>
      <w:bookmarkEnd w:id="0"/>
      <w:r w:rsidRPr="00FA1106">
        <w:rPr>
          <w:rFonts w:ascii="Cambria" w:eastAsia="Cambria" w:hAnsi="Cambria"/>
          <w:b/>
          <w:noProof/>
          <w:sz w:val="20"/>
          <w:szCs w:val="24"/>
          <w:lang w:val="en-US"/>
        </w:rPr>
        <w:drawing>
          <wp:inline distT="0" distB="0" distL="0" distR="0">
            <wp:extent cx="118808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188085" cy="908685"/>
                    </a:xfrm>
                    <a:prstGeom prst="rect">
                      <a:avLst/>
                    </a:prstGeom>
                    <a:noFill/>
                    <a:ln>
                      <a:noFill/>
                    </a:ln>
                  </pic:spPr>
                </pic:pic>
              </a:graphicData>
            </a:graphic>
          </wp:inline>
        </w:drawing>
      </w:r>
    </w:p>
    <w:p w:rsidR="005E4EF0" w:rsidRPr="006F48FC" w:rsidRDefault="005E4EF0" w:rsidP="005E4EF0">
      <w:pPr>
        <w:jc w:val="center"/>
        <w:rPr>
          <w:rFonts w:ascii="Times New Roman" w:hAnsi="Times New Roman"/>
          <w:b/>
          <w:sz w:val="24"/>
          <w:szCs w:val="24"/>
        </w:rPr>
      </w:pPr>
      <w:r w:rsidRPr="006F48FC">
        <w:rPr>
          <w:rFonts w:ascii="Times New Roman" w:hAnsi="Times New Roman"/>
          <w:b/>
          <w:sz w:val="24"/>
          <w:szCs w:val="24"/>
        </w:rPr>
        <w:t>REPUBLIC OF KENYA</w:t>
      </w:r>
    </w:p>
    <w:p w:rsidR="005E4EF0" w:rsidRDefault="005E4EF0" w:rsidP="005E4EF0">
      <w:pPr>
        <w:jc w:val="center"/>
        <w:rPr>
          <w:rFonts w:ascii="Times New Roman" w:hAnsi="Times New Roman"/>
          <w:b/>
          <w:sz w:val="24"/>
          <w:szCs w:val="24"/>
        </w:rPr>
      </w:pPr>
      <w:r w:rsidRPr="006F48FC">
        <w:rPr>
          <w:rFonts w:ascii="Times New Roman" w:hAnsi="Times New Roman"/>
          <w:b/>
          <w:sz w:val="24"/>
          <w:szCs w:val="24"/>
        </w:rPr>
        <w:t>IN THE HIGH COURT OF KENYA AT NAIROBI</w:t>
      </w:r>
    </w:p>
    <w:p w:rsidR="005E4EF0" w:rsidRDefault="005E4EF0" w:rsidP="002652BF">
      <w:pPr>
        <w:tabs>
          <w:tab w:val="center" w:pos="4680"/>
          <w:tab w:val="right" w:pos="9360"/>
        </w:tabs>
        <w:spacing w:line="360" w:lineRule="auto"/>
        <w:rPr>
          <w:rFonts w:ascii="Times New Roman" w:hAnsi="Times New Roman"/>
          <w:b/>
          <w:sz w:val="24"/>
          <w:szCs w:val="24"/>
        </w:rPr>
      </w:pPr>
      <w:r>
        <w:rPr>
          <w:rFonts w:ascii="Times New Roman" w:hAnsi="Times New Roman"/>
          <w:b/>
          <w:sz w:val="24"/>
          <w:szCs w:val="24"/>
        </w:rPr>
        <w:tab/>
        <w:t>JUDICIAL REVIEW NO. 441 OF 2018</w:t>
      </w:r>
    </w:p>
    <w:p w:rsidR="005E4EF0" w:rsidRDefault="005E4EF0" w:rsidP="002652BF">
      <w:pPr>
        <w:jc w:val="both"/>
        <w:rPr>
          <w:rFonts w:ascii="Times New Roman" w:hAnsi="Times New Roman"/>
          <w:b/>
        </w:rPr>
      </w:pPr>
      <w:r>
        <w:rPr>
          <w:rFonts w:ascii="Times New Roman" w:hAnsi="Times New Roman"/>
          <w:b/>
        </w:rPr>
        <w:t>Daniel Kaminja</w:t>
      </w:r>
      <w:r w:rsidR="002652BF">
        <w:rPr>
          <w:rFonts w:ascii="Times New Roman" w:hAnsi="Times New Roman"/>
          <w:b/>
        </w:rPr>
        <w:t xml:space="preserve"> &amp; 3 Others</w:t>
      </w:r>
    </w:p>
    <w:p w:rsidR="005E4EF0" w:rsidRDefault="002652BF" w:rsidP="002652BF">
      <w:pPr>
        <w:jc w:val="both"/>
        <w:rPr>
          <w:rFonts w:ascii="Times New Roman" w:hAnsi="Times New Roman"/>
          <w:b/>
        </w:rPr>
      </w:pPr>
      <w:r>
        <w:rPr>
          <w:rFonts w:ascii="Times New Roman" w:hAnsi="Times New Roman"/>
          <w:b/>
        </w:rPr>
        <w:t xml:space="preserve"> </w:t>
      </w:r>
      <w:r w:rsidR="005E4EF0">
        <w:rPr>
          <w:rFonts w:ascii="Times New Roman" w:hAnsi="Times New Roman"/>
          <w:b/>
        </w:rPr>
        <w:t>(Suing as Westland Environmental Caretaker Group)..................</w:t>
      </w:r>
      <w:r>
        <w:rPr>
          <w:rFonts w:ascii="Times New Roman" w:hAnsi="Times New Roman"/>
          <w:b/>
        </w:rPr>
        <w:t>...</w:t>
      </w:r>
      <w:r w:rsidR="005E4EF0">
        <w:rPr>
          <w:rFonts w:ascii="Times New Roman" w:hAnsi="Times New Roman"/>
          <w:b/>
        </w:rPr>
        <w:t>..</w:t>
      </w:r>
      <w:r w:rsidR="005E4EF0" w:rsidRPr="006F48FC">
        <w:rPr>
          <w:rFonts w:ascii="Times New Roman" w:hAnsi="Times New Roman"/>
          <w:b/>
        </w:rPr>
        <w:t>……...........</w:t>
      </w:r>
      <w:r w:rsidR="005E4EF0">
        <w:rPr>
          <w:rFonts w:ascii="Times New Roman" w:hAnsi="Times New Roman"/>
          <w:b/>
        </w:rPr>
        <w:t>......</w:t>
      </w:r>
      <w:r>
        <w:rPr>
          <w:rFonts w:ascii="Times New Roman" w:hAnsi="Times New Roman"/>
          <w:b/>
        </w:rPr>
        <w:t>...........</w:t>
      </w:r>
      <w:r w:rsidR="005E4EF0">
        <w:rPr>
          <w:rFonts w:ascii="Times New Roman" w:hAnsi="Times New Roman"/>
          <w:b/>
        </w:rPr>
        <w:t>.Applicants</w:t>
      </w:r>
    </w:p>
    <w:p w:rsidR="005E4EF0" w:rsidRDefault="005E4EF0" w:rsidP="005E4EF0">
      <w:pPr>
        <w:jc w:val="center"/>
        <w:rPr>
          <w:rFonts w:ascii="Times New Roman" w:hAnsi="Times New Roman"/>
          <w:b/>
        </w:rPr>
      </w:pPr>
      <w:r>
        <w:rPr>
          <w:rFonts w:ascii="Times New Roman" w:hAnsi="Times New Roman"/>
          <w:b/>
        </w:rPr>
        <w:t>versus</w:t>
      </w:r>
    </w:p>
    <w:p w:rsidR="005E4EF0" w:rsidRDefault="005E4EF0" w:rsidP="005E4EF0">
      <w:pPr>
        <w:jc w:val="both"/>
        <w:rPr>
          <w:rFonts w:ascii="Times New Roman" w:hAnsi="Times New Roman"/>
          <w:b/>
        </w:rPr>
      </w:pPr>
      <w:r>
        <w:rPr>
          <w:rFonts w:ascii="Times New Roman" w:hAnsi="Times New Roman"/>
          <w:b/>
        </w:rPr>
        <w:t>The County Government of Nairobi.........................................................................................Respondent</w:t>
      </w:r>
    </w:p>
    <w:p w:rsidR="005E4EF0" w:rsidRDefault="005E4EF0" w:rsidP="005E4EF0">
      <w:pPr>
        <w:spacing w:after="0" w:line="360" w:lineRule="auto"/>
        <w:jc w:val="center"/>
        <w:rPr>
          <w:rFonts w:ascii="Times New Roman" w:hAnsi="Times New Roman"/>
          <w:b/>
          <w:sz w:val="24"/>
          <w:szCs w:val="24"/>
          <w:u w:val="single"/>
        </w:rPr>
      </w:pPr>
    </w:p>
    <w:p w:rsidR="005E4EF0" w:rsidRPr="00FF3DDB" w:rsidRDefault="005E4EF0" w:rsidP="005E4EF0">
      <w:pPr>
        <w:spacing w:after="0" w:line="360" w:lineRule="auto"/>
        <w:jc w:val="center"/>
        <w:rPr>
          <w:rStyle w:val="Strong"/>
          <w:rFonts w:ascii="Times New Roman" w:hAnsi="Times New Roman"/>
          <w:bCs w:val="0"/>
          <w:sz w:val="24"/>
          <w:szCs w:val="24"/>
          <w:u w:val="single"/>
        </w:rPr>
      </w:pPr>
      <w:r>
        <w:rPr>
          <w:rFonts w:ascii="Times New Roman" w:hAnsi="Times New Roman"/>
          <w:b/>
          <w:sz w:val="24"/>
          <w:szCs w:val="24"/>
          <w:u w:val="single"/>
        </w:rPr>
        <w:t>JUDGMENT</w:t>
      </w:r>
    </w:p>
    <w:p w:rsidR="005E4EF0" w:rsidRPr="00114C33" w:rsidRDefault="005E4EF0" w:rsidP="005E4EF0">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Pr>
          <w:rFonts w:eastAsia="Calibri"/>
          <w:b/>
          <w:iCs/>
          <w:bdr w:val="none" w:sz="0" w:space="0" w:color="auto" w:frame="1"/>
        </w:rPr>
        <w:t>The parties</w:t>
      </w:r>
    </w:p>
    <w:p w:rsidR="00633195" w:rsidRDefault="005E4EF0"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 applicants</w:t>
      </w:r>
      <w:r w:rsidR="002652BF">
        <w:rPr>
          <w:rFonts w:eastAsia="Calibri"/>
          <w:iCs/>
          <w:bdr w:val="none" w:sz="0" w:space="0" w:color="auto" w:frame="1"/>
        </w:rPr>
        <w:t xml:space="preserve"> are</w:t>
      </w:r>
      <w:r>
        <w:rPr>
          <w:rFonts w:eastAsia="Calibri"/>
          <w:iCs/>
          <w:bdr w:val="none" w:sz="0" w:space="0" w:color="auto" w:frame="1"/>
        </w:rPr>
        <w:t xml:space="preserve"> small scale traders registered as a self-help group</w:t>
      </w:r>
      <w:r w:rsidR="002652BF">
        <w:rPr>
          <w:rFonts w:eastAsia="Calibri"/>
          <w:iCs/>
          <w:bdr w:val="none" w:sz="0" w:space="0" w:color="auto" w:frame="1"/>
        </w:rPr>
        <w:t xml:space="preserve"> under the Ministry of Culture and Social Services in the name and style of </w:t>
      </w:r>
      <w:r w:rsidR="002652BF" w:rsidRPr="002652BF">
        <w:t>Westland Environmental Caretaker Group</w:t>
      </w:r>
      <w:r w:rsidR="002652BF">
        <w:t xml:space="preserve">. They carry on the business </w:t>
      </w:r>
      <w:r w:rsidR="00633195">
        <w:rPr>
          <w:rFonts w:eastAsia="Calibri"/>
          <w:iCs/>
          <w:bdr w:val="none" w:sz="0" w:space="0" w:color="auto" w:frame="1"/>
        </w:rPr>
        <w:t>selling flowers, plants and pots a</w:t>
      </w:r>
      <w:r w:rsidR="002652BF">
        <w:rPr>
          <w:rFonts w:eastAsia="Calibri"/>
          <w:iCs/>
          <w:bdr w:val="none" w:sz="0" w:space="0" w:color="auto" w:frame="1"/>
        </w:rPr>
        <w:t>t Lower Kabete Road/Peponi Road, in Nairobi.</w:t>
      </w:r>
    </w:p>
    <w:p w:rsidR="005E4EF0" w:rsidRDefault="00633195" w:rsidP="00633195">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r>
        <w:rPr>
          <w:rFonts w:eastAsia="Calibri"/>
          <w:iCs/>
          <w:bdr w:val="none" w:sz="0" w:space="0" w:color="auto" w:frame="1"/>
        </w:rPr>
        <w:t xml:space="preserve">  </w:t>
      </w:r>
    </w:p>
    <w:p w:rsidR="005E4EF0" w:rsidRDefault="00D63B5F"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 Respondent is the County Government of Na</w:t>
      </w:r>
      <w:r w:rsidR="005469A2">
        <w:rPr>
          <w:rFonts w:eastAsia="Calibri"/>
          <w:iCs/>
          <w:bdr w:val="none" w:sz="0" w:space="0" w:color="auto" w:frame="1"/>
        </w:rPr>
        <w:t>irobi established pursuant to Article 176 of the Constitution</w:t>
      </w:r>
      <w:r>
        <w:rPr>
          <w:rFonts w:eastAsia="Calibri"/>
          <w:iCs/>
          <w:bdr w:val="none" w:sz="0" w:space="0" w:color="auto" w:frame="1"/>
        </w:rPr>
        <w:t>. It</w:t>
      </w:r>
      <w:r w:rsidR="00B15D7C">
        <w:rPr>
          <w:rFonts w:eastAsia="Calibri"/>
          <w:iCs/>
          <w:bdr w:val="none" w:sz="0" w:space="0" w:color="auto" w:frame="1"/>
        </w:rPr>
        <w:t>s</w:t>
      </w:r>
      <w:r>
        <w:rPr>
          <w:rFonts w:eastAsia="Calibri"/>
          <w:iCs/>
          <w:bdr w:val="none" w:sz="0" w:space="0" w:color="auto" w:frame="1"/>
        </w:rPr>
        <w:t xml:space="preserve"> mandate </w:t>
      </w:r>
      <w:r w:rsidR="00B15D7C">
        <w:rPr>
          <w:rFonts w:eastAsia="Calibri"/>
          <w:iCs/>
          <w:bdr w:val="none" w:sz="0" w:space="0" w:color="auto" w:frame="1"/>
        </w:rPr>
        <w:t xml:space="preserve">includes issuing </w:t>
      </w:r>
      <w:r>
        <w:rPr>
          <w:rFonts w:eastAsia="Calibri"/>
          <w:iCs/>
          <w:bdr w:val="none" w:sz="0" w:space="0" w:color="auto" w:frame="1"/>
        </w:rPr>
        <w:t>business lic</w:t>
      </w:r>
      <w:r w:rsidR="005469A2">
        <w:rPr>
          <w:rFonts w:eastAsia="Calibri"/>
          <w:iCs/>
          <w:bdr w:val="none" w:sz="0" w:space="0" w:color="auto" w:frame="1"/>
        </w:rPr>
        <w:t xml:space="preserve">enses and permits to persons intending to carry out business activities </w:t>
      </w:r>
      <w:r w:rsidR="002652BF">
        <w:rPr>
          <w:rFonts w:eastAsia="Calibri"/>
          <w:iCs/>
          <w:bdr w:val="none" w:sz="0" w:space="0" w:color="auto" w:frame="1"/>
        </w:rPr>
        <w:t>within</w:t>
      </w:r>
      <w:r w:rsidR="005469A2">
        <w:rPr>
          <w:rFonts w:eastAsia="Calibri"/>
          <w:iCs/>
          <w:bdr w:val="none" w:sz="0" w:space="0" w:color="auto" w:frame="1"/>
        </w:rPr>
        <w:t xml:space="preserve"> the City of Nairobi.</w:t>
      </w:r>
    </w:p>
    <w:p w:rsidR="00D63B5F" w:rsidRDefault="00D63B5F" w:rsidP="005469A2">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5E4EF0" w:rsidRDefault="005469A2" w:rsidP="005E4EF0">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Pr>
          <w:rFonts w:eastAsia="Calibri"/>
          <w:b/>
          <w:iCs/>
          <w:bdr w:val="none" w:sz="0" w:space="0" w:color="auto" w:frame="1"/>
        </w:rPr>
        <w:t>Factual Matrix</w:t>
      </w:r>
    </w:p>
    <w:p w:rsidR="005E4EF0" w:rsidRDefault="005E4EF0" w:rsidP="005E4EF0">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5469A2" w:rsidRDefault="005469A2"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w:t>
      </w:r>
      <w:r w:rsidR="005D29C8">
        <w:rPr>
          <w:rFonts w:eastAsia="Calibri"/>
          <w:iCs/>
          <w:bdr w:val="none" w:sz="0" w:space="0" w:color="auto" w:frame="1"/>
        </w:rPr>
        <w:t>e applicants</w:t>
      </w:r>
      <w:r w:rsidR="002652BF">
        <w:rPr>
          <w:rFonts w:eastAsia="Calibri"/>
          <w:iCs/>
          <w:bdr w:val="none" w:sz="0" w:space="0" w:color="auto" w:frame="1"/>
        </w:rPr>
        <w:t>’ case is</w:t>
      </w:r>
      <w:r>
        <w:rPr>
          <w:rFonts w:eastAsia="Calibri"/>
          <w:iCs/>
          <w:bdr w:val="none" w:sz="0" w:space="0" w:color="auto" w:frame="1"/>
        </w:rPr>
        <w:t xml:space="preserve"> that at all material times they have been conducting the business of selling flowers, plants and pots on lower Kabete Road/Peponi Road in the County of Na</w:t>
      </w:r>
      <w:r w:rsidR="002652BF">
        <w:rPr>
          <w:rFonts w:eastAsia="Calibri"/>
          <w:iCs/>
          <w:bdr w:val="none" w:sz="0" w:space="0" w:color="auto" w:frame="1"/>
        </w:rPr>
        <w:t xml:space="preserve">irobi. </w:t>
      </w:r>
      <w:r w:rsidR="002652BF">
        <w:rPr>
          <w:rFonts w:eastAsia="Calibri"/>
          <w:iCs/>
          <w:bdr w:val="none" w:sz="0" w:space="0" w:color="auto" w:frame="1"/>
        </w:rPr>
        <w:lastRenderedPageBreak/>
        <w:t>They state that they have operated at the said venue since</w:t>
      </w:r>
      <w:r w:rsidR="005D29C8">
        <w:rPr>
          <w:rFonts w:eastAsia="Calibri"/>
          <w:iCs/>
          <w:bdr w:val="none" w:sz="0" w:space="0" w:color="auto" w:frame="1"/>
        </w:rPr>
        <w:t>1984</w:t>
      </w:r>
      <w:r w:rsidR="002652BF">
        <w:rPr>
          <w:rFonts w:eastAsia="Calibri"/>
          <w:iCs/>
          <w:bdr w:val="none" w:sz="0" w:space="0" w:color="auto" w:frame="1"/>
        </w:rPr>
        <w:t xml:space="preserve">. </w:t>
      </w:r>
      <w:r w:rsidR="005D29C8">
        <w:rPr>
          <w:rFonts w:eastAsia="Calibri"/>
          <w:iCs/>
          <w:bdr w:val="none" w:sz="0" w:space="0" w:color="auto" w:frame="1"/>
        </w:rPr>
        <w:t>The</w:t>
      </w:r>
      <w:r w:rsidR="002652BF">
        <w:rPr>
          <w:rFonts w:eastAsia="Calibri"/>
          <w:iCs/>
          <w:bdr w:val="none" w:sz="0" w:space="0" w:color="auto" w:frame="1"/>
        </w:rPr>
        <w:t xml:space="preserve">y also </w:t>
      </w:r>
      <w:r w:rsidR="005D29C8">
        <w:rPr>
          <w:rFonts w:eastAsia="Calibri"/>
          <w:iCs/>
          <w:bdr w:val="none" w:sz="0" w:space="0" w:color="auto" w:frame="1"/>
        </w:rPr>
        <w:t>state that the said premises is partially riparian and partially a road reserve.</w:t>
      </w:r>
    </w:p>
    <w:p w:rsidR="005D29C8" w:rsidRDefault="002652BF"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In addition the applicants </w:t>
      </w:r>
      <w:r w:rsidR="005D29C8">
        <w:rPr>
          <w:rFonts w:eastAsia="Calibri"/>
          <w:iCs/>
          <w:bdr w:val="none" w:sz="0" w:space="0" w:color="auto" w:frame="1"/>
        </w:rPr>
        <w:t>state that in 1986, thy formed and registered the</w:t>
      </w:r>
      <w:r w:rsidR="00BC022E">
        <w:rPr>
          <w:rFonts w:eastAsia="Calibri"/>
          <w:iCs/>
          <w:bdr w:val="none" w:sz="0" w:space="0" w:color="auto" w:frame="1"/>
        </w:rPr>
        <w:t xml:space="preserve"> said</w:t>
      </w:r>
      <w:r w:rsidR="005D29C8">
        <w:rPr>
          <w:rFonts w:eastAsia="Calibri"/>
          <w:iCs/>
          <w:bdr w:val="none" w:sz="0" w:space="0" w:color="auto" w:frame="1"/>
        </w:rPr>
        <w:t xml:space="preserve"> </w:t>
      </w:r>
      <w:r w:rsidR="00BC022E">
        <w:rPr>
          <w:rFonts w:eastAsia="Calibri"/>
          <w:iCs/>
          <w:bdr w:val="none" w:sz="0" w:space="0" w:color="auto" w:frame="1"/>
        </w:rPr>
        <w:t>Self-Help</w:t>
      </w:r>
      <w:r w:rsidR="005D29C8">
        <w:rPr>
          <w:rFonts w:eastAsia="Calibri"/>
          <w:iCs/>
          <w:bdr w:val="none" w:sz="0" w:space="0" w:color="auto" w:frame="1"/>
        </w:rPr>
        <w:t xml:space="preserve"> Group </w:t>
      </w:r>
      <w:r w:rsidR="00BC022E">
        <w:rPr>
          <w:rFonts w:eastAsia="Calibri"/>
          <w:iCs/>
          <w:bdr w:val="none" w:sz="0" w:space="0" w:color="auto" w:frame="1"/>
        </w:rPr>
        <w:t>and</w:t>
      </w:r>
      <w:r w:rsidR="005D29C8">
        <w:rPr>
          <w:rFonts w:eastAsia="Calibri"/>
          <w:iCs/>
          <w:bdr w:val="none" w:sz="0" w:space="0" w:color="auto" w:frame="1"/>
        </w:rPr>
        <w:t xml:space="preserve"> they have used </w:t>
      </w:r>
      <w:r w:rsidR="00BC022E">
        <w:rPr>
          <w:rFonts w:eastAsia="Calibri"/>
          <w:iCs/>
          <w:bdr w:val="none" w:sz="0" w:space="0" w:color="auto" w:frame="1"/>
        </w:rPr>
        <w:t xml:space="preserve">it </w:t>
      </w:r>
      <w:r w:rsidR="005D29C8">
        <w:rPr>
          <w:rFonts w:eastAsia="Calibri"/>
          <w:iCs/>
          <w:bdr w:val="none" w:sz="0" w:space="0" w:color="auto" w:frame="1"/>
        </w:rPr>
        <w:t>to coordinate the affa</w:t>
      </w:r>
      <w:r w:rsidR="00BC022E">
        <w:rPr>
          <w:rFonts w:eastAsia="Calibri"/>
          <w:iCs/>
          <w:bdr w:val="none" w:sz="0" w:space="0" w:color="auto" w:frame="1"/>
        </w:rPr>
        <w:t xml:space="preserve">irs of their premises, and, </w:t>
      </w:r>
      <w:r w:rsidR="005D29C8">
        <w:rPr>
          <w:rFonts w:eastAsia="Calibri"/>
          <w:iCs/>
          <w:bdr w:val="none" w:sz="0" w:space="0" w:color="auto" w:frame="1"/>
        </w:rPr>
        <w:t xml:space="preserve">to obtain </w:t>
      </w:r>
      <w:r w:rsidR="00A02BF5">
        <w:rPr>
          <w:rFonts w:eastAsia="Calibri"/>
          <w:iCs/>
          <w:bdr w:val="none" w:sz="0" w:space="0" w:color="auto" w:frame="1"/>
        </w:rPr>
        <w:t>their business</w:t>
      </w:r>
      <w:r w:rsidR="005D29C8">
        <w:rPr>
          <w:rFonts w:eastAsia="Calibri"/>
          <w:iCs/>
          <w:bdr w:val="none" w:sz="0" w:space="0" w:color="auto" w:frame="1"/>
        </w:rPr>
        <w:t xml:space="preserve"> permits under the said name.</w:t>
      </w:r>
    </w:p>
    <w:p w:rsidR="005D29C8" w:rsidRDefault="005D29C8" w:rsidP="005D29C8">
      <w:pPr>
        <w:pStyle w:val="ListParagraph"/>
        <w:rPr>
          <w:iCs/>
          <w:bdr w:val="none" w:sz="0" w:space="0" w:color="auto" w:frame="1"/>
        </w:rPr>
      </w:pPr>
    </w:p>
    <w:p w:rsidR="005D29C8" w:rsidRDefault="005D29C8"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w:t>
      </w:r>
      <w:r w:rsidR="00BC022E">
        <w:rPr>
          <w:rFonts w:eastAsia="Calibri"/>
          <w:iCs/>
          <w:bdr w:val="none" w:sz="0" w:space="0" w:color="auto" w:frame="1"/>
        </w:rPr>
        <w:t xml:space="preserve">y maintain </w:t>
      </w:r>
      <w:r>
        <w:rPr>
          <w:rFonts w:eastAsia="Calibri"/>
          <w:iCs/>
          <w:bdr w:val="none" w:sz="0" w:space="0" w:color="auto" w:frame="1"/>
        </w:rPr>
        <w:t xml:space="preserve">that they carried on the said business without interference until </w:t>
      </w:r>
      <w:r w:rsidR="00A02BF5">
        <w:rPr>
          <w:rFonts w:eastAsia="Calibri"/>
          <w:iCs/>
          <w:bdr w:val="none" w:sz="0" w:space="0" w:color="auto" w:frame="1"/>
        </w:rPr>
        <w:t>28</w:t>
      </w:r>
      <w:r w:rsidR="00A02BF5" w:rsidRPr="00A02BF5">
        <w:rPr>
          <w:rFonts w:eastAsia="Calibri"/>
          <w:iCs/>
          <w:bdr w:val="none" w:sz="0" w:space="0" w:color="auto" w:frame="1"/>
          <w:vertAlign w:val="superscript"/>
        </w:rPr>
        <w:t>th</w:t>
      </w:r>
      <w:r w:rsidR="00A02BF5">
        <w:rPr>
          <w:rFonts w:eastAsia="Calibri"/>
          <w:iCs/>
          <w:bdr w:val="none" w:sz="0" w:space="0" w:color="auto" w:frame="1"/>
        </w:rPr>
        <w:t xml:space="preserve"> </w:t>
      </w:r>
      <w:r>
        <w:rPr>
          <w:rFonts w:eastAsia="Calibri"/>
          <w:iCs/>
          <w:bdr w:val="none" w:sz="0" w:space="0" w:color="auto" w:frame="1"/>
        </w:rPr>
        <w:t>May 2013</w:t>
      </w:r>
      <w:r w:rsidR="00A02BF5">
        <w:rPr>
          <w:rFonts w:eastAsia="Calibri"/>
          <w:iCs/>
          <w:bdr w:val="none" w:sz="0" w:space="0" w:color="auto" w:frame="1"/>
        </w:rPr>
        <w:t xml:space="preserve"> when they were served with a Removal Notice from the County Government, City Inspectorate Department requiring them to move from the said premises within 48 </w:t>
      </w:r>
      <w:r w:rsidR="007616FA">
        <w:rPr>
          <w:rFonts w:eastAsia="Calibri"/>
          <w:iCs/>
          <w:bdr w:val="none" w:sz="0" w:space="0" w:color="auto" w:frame="1"/>
        </w:rPr>
        <w:t>hours from</w:t>
      </w:r>
      <w:r w:rsidR="00A02BF5">
        <w:rPr>
          <w:rFonts w:eastAsia="Calibri"/>
          <w:iCs/>
          <w:bdr w:val="none" w:sz="0" w:space="0" w:color="auto" w:frame="1"/>
        </w:rPr>
        <w:t xml:space="preserve"> the time of service of the Notice on grounds that their presence and or that of their structures/articles was undesirable.</w:t>
      </w:r>
      <w:r w:rsidR="007616FA">
        <w:rPr>
          <w:rFonts w:eastAsia="Calibri"/>
          <w:iCs/>
          <w:bdr w:val="none" w:sz="0" w:space="0" w:color="auto" w:frame="1"/>
        </w:rPr>
        <w:t xml:space="preserve"> The applicants state that they </w:t>
      </w:r>
      <w:r w:rsidR="00C35A03">
        <w:rPr>
          <w:rFonts w:eastAsia="Calibri"/>
          <w:iCs/>
          <w:bdr w:val="none" w:sz="0" w:space="0" w:color="auto" w:frame="1"/>
        </w:rPr>
        <w:t>successfully challenged</w:t>
      </w:r>
      <w:r w:rsidR="007616FA">
        <w:rPr>
          <w:rFonts w:eastAsia="Calibri"/>
          <w:iCs/>
          <w:bdr w:val="none" w:sz="0" w:space="0" w:color="auto" w:frame="1"/>
        </w:rPr>
        <w:t xml:space="preserve"> the said Notice in Petition No. 280 of 2013 and pursuant to the court orders they applied for a permit for the year 2014, 2015, 2016, 2017 and 2018.</w:t>
      </w:r>
    </w:p>
    <w:p w:rsidR="00A02BF5" w:rsidRDefault="00A02BF5" w:rsidP="00A02BF5">
      <w:pPr>
        <w:pStyle w:val="ListParagraph"/>
        <w:rPr>
          <w:iCs/>
          <w:bdr w:val="none" w:sz="0" w:space="0" w:color="auto" w:frame="1"/>
        </w:rPr>
      </w:pPr>
    </w:p>
    <w:p w:rsidR="00CC2890" w:rsidRPr="006864C5" w:rsidRDefault="007616FA" w:rsidP="006864C5">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 appli</w:t>
      </w:r>
      <w:r w:rsidR="00C35A03">
        <w:rPr>
          <w:rFonts w:eastAsia="Calibri"/>
          <w:iCs/>
          <w:bdr w:val="none" w:sz="0" w:space="0" w:color="auto" w:frame="1"/>
        </w:rPr>
        <w:t>c</w:t>
      </w:r>
      <w:r w:rsidR="00BD06EB">
        <w:rPr>
          <w:rFonts w:eastAsia="Calibri"/>
          <w:iCs/>
          <w:bdr w:val="none" w:sz="0" w:space="0" w:color="auto" w:frame="1"/>
        </w:rPr>
        <w:t xml:space="preserve">ants also state that on Monday </w:t>
      </w:r>
      <w:r w:rsidR="00C35A03">
        <w:rPr>
          <w:rFonts w:eastAsia="Calibri"/>
          <w:iCs/>
          <w:bdr w:val="none" w:sz="0" w:space="0" w:color="auto" w:frame="1"/>
        </w:rPr>
        <w:t>5</w:t>
      </w:r>
      <w:r w:rsidR="00C35A03" w:rsidRPr="00C35A03">
        <w:rPr>
          <w:rFonts w:eastAsia="Calibri"/>
          <w:iCs/>
          <w:bdr w:val="none" w:sz="0" w:space="0" w:color="auto" w:frame="1"/>
          <w:vertAlign w:val="superscript"/>
        </w:rPr>
        <w:t>th</w:t>
      </w:r>
      <w:r w:rsidR="00C35A03">
        <w:rPr>
          <w:rFonts w:eastAsia="Calibri"/>
          <w:iCs/>
          <w:bdr w:val="none" w:sz="0" w:space="0" w:color="auto" w:frame="1"/>
        </w:rPr>
        <w:t xml:space="preserve"> November 2018, at aroun</w:t>
      </w:r>
      <w:r w:rsidR="00BD06EB">
        <w:rPr>
          <w:rFonts w:eastAsia="Calibri"/>
          <w:iCs/>
          <w:bdr w:val="none" w:sz="0" w:space="0" w:color="auto" w:frame="1"/>
        </w:rPr>
        <w:t>d 1pm, they were served with a R</w:t>
      </w:r>
      <w:r w:rsidR="00A753CC">
        <w:rPr>
          <w:rFonts w:eastAsia="Calibri"/>
          <w:iCs/>
          <w:bdr w:val="none" w:sz="0" w:space="0" w:color="auto" w:frame="1"/>
        </w:rPr>
        <w:t xml:space="preserve">emoval Notice </w:t>
      </w:r>
      <w:r w:rsidR="007D4AA2">
        <w:rPr>
          <w:rFonts w:eastAsia="Calibri"/>
          <w:iCs/>
          <w:bdr w:val="none" w:sz="0" w:space="0" w:color="auto" w:frame="1"/>
        </w:rPr>
        <w:t xml:space="preserve">by the Respondent </w:t>
      </w:r>
      <w:r w:rsidR="00C35A03">
        <w:rPr>
          <w:rFonts w:eastAsia="Calibri"/>
          <w:iCs/>
          <w:bdr w:val="none" w:sz="0" w:space="0" w:color="auto" w:frame="1"/>
        </w:rPr>
        <w:t xml:space="preserve">requiring </w:t>
      </w:r>
      <w:r w:rsidR="00A753CC">
        <w:rPr>
          <w:rFonts w:eastAsia="Calibri"/>
          <w:iCs/>
          <w:bdr w:val="none" w:sz="0" w:space="0" w:color="auto" w:frame="1"/>
        </w:rPr>
        <w:t>them to move from the said premises</w:t>
      </w:r>
      <w:r w:rsidR="00C35A03">
        <w:rPr>
          <w:rFonts w:eastAsia="Calibri"/>
          <w:iCs/>
          <w:bdr w:val="none" w:sz="0" w:space="0" w:color="auto" w:frame="1"/>
        </w:rPr>
        <w:t xml:space="preserve"> </w:t>
      </w:r>
      <w:r w:rsidR="00A753CC">
        <w:rPr>
          <w:rFonts w:eastAsia="Calibri"/>
          <w:iCs/>
          <w:bdr w:val="none" w:sz="0" w:space="0" w:color="auto" w:frame="1"/>
        </w:rPr>
        <w:t>within 7 days of service of the</w:t>
      </w:r>
      <w:r w:rsidR="00C35A03">
        <w:rPr>
          <w:rFonts w:eastAsia="Calibri"/>
          <w:iCs/>
          <w:bdr w:val="none" w:sz="0" w:space="0" w:color="auto" w:frame="1"/>
        </w:rPr>
        <w:t xml:space="preserve"> Notice on grounds that the site was required for development.</w:t>
      </w:r>
      <w:r w:rsidR="00CC2890">
        <w:rPr>
          <w:rFonts w:eastAsia="Calibri"/>
          <w:iCs/>
          <w:bdr w:val="none" w:sz="0" w:space="0" w:color="auto" w:frame="1"/>
        </w:rPr>
        <w:t xml:space="preserve"> The applicants state tha</w:t>
      </w:r>
      <w:r w:rsidR="007E7DD9">
        <w:rPr>
          <w:rFonts w:eastAsia="Calibri"/>
          <w:iCs/>
          <w:bdr w:val="none" w:sz="0" w:space="0" w:color="auto" w:frame="1"/>
        </w:rPr>
        <w:t>t the 7 days is</w:t>
      </w:r>
      <w:r w:rsidR="00CC2890">
        <w:rPr>
          <w:rFonts w:eastAsia="Calibri"/>
          <w:iCs/>
          <w:bdr w:val="none" w:sz="0" w:space="0" w:color="auto" w:frame="1"/>
        </w:rPr>
        <w:t xml:space="preserve"> </w:t>
      </w:r>
      <w:r w:rsidR="007E7DD9">
        <w:rPr>
          <w:rFonts w:eastAsia="Calibri"/>
          <w:iCs/>
          <w:bdr w:val="none" w:sz="0" w:space="0" w:color="auto" w:frame="1"/>
        </w:rPr>
        <w:t>insufficient for them</w:t>
      </w:r>
      <w:r w:rsidR="00CC2890">
        <w:rPr>
          <w:rFonts w:eastAsia="Calibri"/>
          <w:iCs/>
          <w:bdr w:val="none" w:sz="0" w:space="0" w:color="auto" w:frame="1"/>
        </w:rPr>
        <w:t xml:space="preserve"> to find an alternative suitable location to move their businesses.</w:t>
      </w:r>
      <w:r w:rsidR="006864C5">
        <w:rPr>
          <w:rFonts w:eastAsia="Calibri"/>
          <w:iCs/>
          <w:bdr w:val="none" w:sz="0" w:space="0" w:color="auto" w:frame="1"/>
        </w:rPr>
        <w:t xml:space="preserve"> </w:t>
      </w:r>
      <w:r w:rsidR="00CC2890" w:rsidRPr="006864C5">
        <w:rPr>
          <w:rFonts w:eastAsia="Calibri"/>
          <w:iCs/>
          <w:bdr w:val="none" w:sz="0" w:space="0" w:color="auto" w:frame="1"/>
        </w:rPr>
        <w:t>Further, the applicants contend that the</w:t>
      </w:r>
      <w:r w:rsidR="00846392" w:rsidRPr="006864C5">
        <w:rPr>
          <w:rFonts w:eastAsia="Calibri"/>
          <w:iCs/>
          <w:bdr w:val="none" w:sz="0" w:space="0" w:color="auto" w:frame="1"/>
        </w:rPr>
        <w:t xml:space="preserve"> even though</w:t>
      </w:r>
      <w:r w:rsidR="00CC2890" w:rsidRPr="006864C5">
        <w:rPr>
          <w:rFonts w:eastAsia="Calibri"/>
          <w:iCs/>
          <w:bdr w:val="none" w:sz="0" w:space="0" w:color="auto" w:frame="1"/>
        </w:rPr>
        <w:t xml:space="preserve"> Respondent</w:t>
      </w:r>
      <w:r w:rsidR="00846392" w:rsidRPr="006864C5">
        <w:rPr>
          <w:rFonts w:eastAsia="Calibri"/>
          <w:iCs/>
          <w:bdr w:val="none" w:sz="0" w:space="0" w:color="auto" w:frame="1"/>
        </w:rPr>
        <w:t xml:space="preserve"> has a</w:t>
      </w:r>
      <w:r w:rsidR="00CC2890" w:rsidRPr="006864C5">
        <w:rPr>
          <w:rFonts w:eastAsia="Calibri"/>
          <w:iCs/>
          <w:bdr w:val="none" w:sz="0" w:space="0" w:color="auto" w:frame="1"/>
        </w:rPr>
        <w:t xml:space="preserve"> right to develop the property, the said right was exercised unfairly,</w:t>
      </w:r>
      <w:r w:rsidR="00846392" w:rsidRPr="006864C5">
        <w:rPr>
          <w:rFonts w:eastAsia="Calibri"/>
          <w:iCs/>
          <w:bdr w:val="none" w:sz="0" w:space="0" w:color="auto" w:frame="1"/>
        </w:rPr>
        <w:t xml:space="preserve"> and, the Respondent</w:t>
      </w:r>
      <w:r w:rsidR="00CC2890" w:rsidRPr="006864C5">
        <w:rPr>
          <w:rFonts w:eastAsia="Calibri"/>
          <w:iCs/>
          <w:bdr w:val="none" w:sz="0" w:space="0" w:color="auto" w:frame="1"/>
        </w:rPr>
        <w:t xml:space="preserve"> did not </w:t>
      </w:r>
      <w:r w:rsidR="0073732A" w:rsidRPr="006864C5">
        <w:rPr>
          <w:rFonts w:eastAsia="Calibri"/>
          <w:iCs/>
          <w:bdr w:val="none" w:sz="0" w:space="0" w:color="auto" w:frame="1"/>
        </w:rPr>
        <w:t xml:space="preserve">consider </w:t>
      </w:r>
      <w:r w:rsidR="00CC2890" w:rsidRPr="006864C5">
        <w:rPr>
          <w:rFonts w:eastAsia="Calibri"/>
          <w:iCs/>
          <w:bdr w:val="none" w:sz="0" w:space="0" w:color="auto" w:frame="1"/>
        </w:rPr>
        <w:t>their rights</w:t>
      </w:r>
      <w:r w:rsidR="00E83CCE" w:rsidRPr="006864C5">
        <w:rPr>
          <w:rFonts w:eastAsia="Calibri"/>
          <w:iCs/>
          <w:bdr w:val="none" w:sz="0" w:space="0" w:color="auto" w:frame="1"/>
        </w:rPr>
        <w:t xml:space="preserve"> having occupied and invested therein since 1984</w:t>
      </w:r>
      <w:r w:rsidR="0073732A" w:rsidRPr="006864C5">
        <w:rPr>
          <w:rFonts w:eastAsia="Calibri"/>
          <w:iCs/>
          <w:bdr w:val="none" w:sz="0" w:space="0" w:color="auto" w:frame="1"/>
        </w:rPr>
        <w:t>.</w:t>
      </w:r>
      <w:r w:rsidR="00CC2890" w:rsidRPr="006864C5">
        <w:rPr>
          <w:rFonts w:eastAsia="Calibri"/>
          <w:iCs/>
          <w:bdr w:val="none" w:sz="0" w:space="0" w:color="auto" w:frame="1"/>
        </w:rPr>
        <w:t xml:space="preserve"> </w:t>
      </w:r>
    </w:p>
    <w:p w:rsidR="00C35A03" w:rsidRDefault="00C35A03" w:rsidP="00C35A03">
      <w:pPr>
        <w:pStyle w:val="ListParagraph"/>
        <w:rPr>
          <w:iCs/>
          <w:bdr w:val="none" w:sz="0" w:space="0" w:color="auto" w:frame="1"/>
        </w:rPr>
      </w:pPr>
    </w:p>
    <w:p w:rsidR="00C35A03" w:rsidRPr="00C35A03" w:rsidRDefault="00C35A03" w:rsidP="00C35A03">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sidRPr="00C35A03">
        <w:rPr>
          <w:rFonts w:eastAsia="Calibri"/>
          <w:b/>
          <w:iCs/>
          <w:bdr w:val="none" w:sz="0" w:space="0" w:color="auto" w:frame="1"/>
        </w:rPr>
        <w:t>Legal foundation of the Constitution</w:t>
      </w:r>
    </w:p>
    <w:p w:rsidR="00C35A03" w:rsidRDefault="00C35A03" w:rsidP="00C35A03">
      <w:pPr>
        <w:pStyle w:val="ListParagraph"/>
        <w:rPr>
          <w:iCs/>
          <w:bdr w:val="none" w:sz="0" w:space="0" w:color="auto" w:frame="1"/>
        </w:rPr>
      </w:pPr>
    </w:p>
    <w:p w:rsidR="00C35A03" w:rsidRDefault="00C35A03"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The </w:t>
      </w:r>
      <w:r w:rsidR="007E7DD9">
        <w:rPr>
          <w:rFonts w:eastAsia="Calibri"/>
          <w:iCs/>
          <w:bdr w:val="none" w:sz="0" w:space="0" w:color="auto" w:frame="1"/>
        </w:rPr>
        <w:t>applicants’</w:t>
      </w:r>
      <w:r>
        <w:rPr>
          <w:rFonts w:eastAsia="Calibri"/>
          <w:iCs/>
          <w:bdr w:val="none" w:sz="0" w:space="0" w:color="auto" w:frame="1"/>
        </w:rPr>
        <w:t xml:space="preserve"> state that the said Notice is unlawful as it is was made in violation of their rights protected under the Constitution, statute law, common law and international law. Further, the</w:t>
      </w:r>
      <w:r w:rsidR="00A55868">
        <w:rPr>
          <w:rFonts w:eastAsia="Calibri"/>
          <w:iCs/>
          <w:bdr w:val="none" w:sz="0" w:space="0" w:color="auto" w:frame="1"/>
        </w:rPr>
        <w:t>y</w:t>
      </w:r>
      <w:r>
        <w:rPr>
          <w:rFonts w:eastAsia="Calibri"/>
          <w:iCs/>
          <w:bdr w:val="none" w:sz="0" w:space="0" w:color="auto" w:frame="1"/>
        </w:rPr>
        <w:t xml:space="preserve"> state that</w:t>
      </w:r>
      <w:r w:rsidR="00A55868">
        <w:rPr>
          <w:rFonts w:eastAsia="Calibri"/>
          <w:iCs/>
          <w:bdr w:val="none" w:sz="0" w:space="0" w:color="auto" w:frame="1"/>
        </w:rPr>
        <w:t xml:space="preserve"> the removal Notice violates their Article 47 rights, in particular, they were not accorded a fair process. In addition, the applicants state that they were not notified of the decision in advance nor were they afforded the opportunity to defend themselves.</w:t>
      </w:r>
    </w:p>
    <w:p w:rsidR="006864C5" w:rsidRDefault="006864C5" w:rsidP="006864C5">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A55868" w:rsidRDefault="00A55868"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lastRenderedPageBreak/>
        <w:t>Further, the applicants state that the Notice does not offer them sufficient details on the reasons inform</w:t>
      </w:r>
      <w:r w:rsidR="00A30F0C">
        <w:rPr>
          <w:rFonts w:eastAsia="Calibri"/>
          <w:iCs/>
          <w:bdr w:val="none" w:sz="0" w:space="0" w:color="auto" w:frame="1"/>
        </w:rPr>
        <w:t xml:space="preserve">ing the decision to allow them </w:t>
      </w:r>
      <w:r>
        <w:rPr>
          <w:rFonts w:eastAsia="Calibri"/>
          <w:iCs/>
          <w:bdr w:val="none" w:sz="0" w:space="0" w:color="auto" w:frame="1"/>
        </w:rPr>
        <w:t>to contest the decision, hence, it offends Article 47(2) of the Constitution and section 6 of the</w:t>
      </w:r>
      <w:r w:rsidR="00A30F0C">
        <w:rPr>
          <w:rFonts w:eastAsia="Calibri"/>
          <w:iCs/>
          <w:bdr w:val="none" w:sz="0" w:space="0" w:color="auto" w:frame="1"/>
        </w:rPr>
        <w:t xml:space="preserve"> Fair Administrative Action Act</w:t>
      </w:r>
      <w:r w:rsidR="00A30F0C">
        <w:rPr>
          <w:rStyle w:val="FootnoteReference"/>
          <w:rFonts w:eastAsia="Calibri"/>
          <w:iCs/>
          <w:bdr w:val="none" w:sz="0" w:space="0" w:color="auto" w:frame="1"/>
        </w:rPr>
        <w:footnoteReference w:id="1"/>
      </w:r>
      <w:r w:rsidR="00A30F0C">
        <w:rPr>
          <w:rFonts w:eastAsia="Calibri"/>
          <w:iCs/>
          <w:bdr w:val="none" w:sz="0" w:space="0" w:color="auto" w:frame="1"/>
        </w:rPr>
        <w:t xml:space="preserve"> (herein after referred to as the FAA Act).</w:t>
      </w:r>
    </w:p>
    <w:p w:rsidR="006F6DFB" w:rsidRDefault="006F6DFB" w:rsidP="006F6DFB">
      <w:pPr>
        <w:pStyle w:val="ListParagraph"/>
        <w:rPr>
          <w:iCs/>
          <w:bdr w:val="none" w:sz="0" w:space="0" w:color="auto" w:frame="1"/>
        </w:rPr>
      </w:pPr>
    </w:p>
    <w:p w:rsidR="006F6DFB" w:rsidRDefault="006F6DFB"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 applicants also state that the said decision was issued in bad faith taking into consideration the decision in Pet. 280 of 2013 in which the court noted that the impugned Notice did not sufficiently detail the reasons and that the notice period was unreasonably short.</w:t>
      </w:r>
    </w:p>
    <w:p w:rsidR="006F6DFB" w:rsidRDefault="006F6DFB" w:rsidP="006F6DFB">
      <w:pPr>
        <w:pStyle w:val="ListParagraph"/>
        <w:rPr>
          <w:iCs/>
          <w:bdr w:val="none" w:sz="0" w:space="0" w:color="auto" w:frame="1"/>
        </w:rPr>
      </w:pPr>
    </w:p>
    <w:p w:rsidR="00E83CCE" w:rsidRPr="00E038CF" w:rsidRDefault="006F6DFB" w:rsidP="00E038CF">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 applicants furt</w:t>
      </w:r>
      <w:r w:rsidR="00225034">
        <w:rPr>
          <w:rFonts w:eastAsia="Calibri"/>
          <w:iCs/>
          <w:bdr w:val="none" w:sz="0" w:space="0" w:color="auto" w:frame="1"/>
        </w:rPr>
        <w:t>her state that the Respondent violated</w:t>
      </w:r>
      <w:r>
        <w:rPr>
          <w:rFonts w:eastAsia="Calibri"/>
          <w:iCs/>
          <w:bdr w:val="none" w:sz="0" w:space="0" w:color="auto" w:frame="1"/>
        </w:rPr>
        <w:t xml:space="preserve"> their right to legitimate expectation</w:t>
      </w:r>
      <w:r w:rsidR="00AD1314">
        <w:rPr>
          <w:rFonts w:eastAsia="Calibri"/>
          <w:iCs/>
          <w:bdr w:val="none" w:sz="0" w:space="0" w:color="auto" w:frame="1"/>
        </w:rPr>
        <w:t xml:space="preserve"> based on the fact that the Respondent issued them with a permit which was still valid. In addition, the applicants stated that the Notice if acted upon would violate their right to property guaranteed under Article 40 </w:t>
      </w:r>
      <w:r w:rsidR="001D5DC4">
        <w:rPr>
          <w:rFonts w:eastAsia="Calibri"/>
          <w:iCs/>
          <w:bdr w:val="none" w:sz="0" w:space="0" w:color="auto" w:frame="1"/>
        </w:rPr>
        <w:t>of the</w:t>
      </w:r>
      <w:r w:rsidR="00AD1314">
        <w:rPr>
          <w:rFonts w:eastAsia="Calibri"/>
          <w:iCs/>
          <w:bdr w:val="none" w:sz="0" w:space="0" w:color="auto" w:frame="1"/>
        </w:rPr>
        <w:t xml:space="preserve"> Constitution</w:t>
      </w:r>
      <w:r w:rsidR="00E83CCE">
        <w:rPr>
          <w:rFonts w:eastAsia="Calibri"/>
          <w:iCs/>
          <w:bdr w:val="none" w:sz="0" w:space="0" w:color="auto" w:frame="1"/>
        </w:rPr>
        <w:t>.</w:t>
      </w:r>
      <w:r w:rsidR="00E038CF">
        <w:rPr>
          <w:rFonts w:eastAsia="Calibri"/>
          <w:iCs/>
          <w:bdr w:val="none" w:sz="0" w:space="0" w:color="auto" w:frame="1"/>
        </w:rPr>
        <w:t xml:space="preserve"> In addition, the applicants state that the eviction</w:t>
      </w:r>
      <w:r w:rsidR="00E83CCE" w:rsidRPr="00E038CF">
        <w:rPr>
          <w:rFonts w:eastAsia="Calibri"/>
          <w:iCs/>
          <w:bdr w:val="none" w:sz="0" w:space="0" w:color="auto" w:frame="1"/>
        </w:rPr>
        <w:t xml:space="preserve"> </w:t>
      </w:r>
      <w:r w:rsidR="001D5DC4" w:rsidRPr="00E038CF">
        <w:rPr>
          <w:rFonts w:eastAsia="Calibri"/>
          <w:iCs/>
          <w:bdr w:val="none" w:sz="0" w:space="0" w:color="auto" w:frame="1"/>
        </w:rPr>
        <w:t>would violate</w:t>
      </w:r>
      <w:r w:rsidR="00E83CCE" w:rsidRPr="00E038CF">
        <w:rPr>
          <w:rFonts w:eastAsia="Calibri"/>
          <w:iCs/>
          <w:bdr w:val="none" w:sz="0" w:space="0" w:color="auto" w:frame="1"/>
        </w:rPr>
        <w:t xml:space="preserve"> their economic and social rights protected under Article 43 of the Constitution, hence, the deci</w:t>
      </w:r>
      <w:r w:rsidR="001D5DC4" w:rsidRPr="00E038CF">
        <w:rPr>
          <w:rFonts w:eastAsia="Calibri"/>
          <w:iCs/>
          <w:bdr w:val="none" w:sz="0" w:space="0" w:color="auto" w:frame="1"/>
        </w:rPr>
        <w:t>sion will negatively affect them</w:t>
      </w:r>
      <w:r w:rsidR="00E83CCE" w:rsidRPr="00E038CF">
        <w:rPr>
          <w:rFonts w:eastAsia="Calibri"/>
          <w:iCs/>
          <w:bdr w:val="none" w:sz="0" w:space="0" w:color="auto" w:frame="1"/>
        </w:rPr>
        <w:t xml:space="preserve"> and their families.</w:t>
      </w:r>
      <w:r w:rsidR="00E038CF">
        <w:rPr>
          <w:rFonts w:eastAsia="Calibri"/>
          <w:iCs/>
          <w:bdr w:val="none" w:sz="0" w:space="0" w:color="auto" w:frame="1"/>
        </w:rPr>
        <w:t xml:space="preserve"> Lastly, </w:t>
      </w:r>
      <w:r w:rsidR="00E038CF" w:rsidRPr="00E038CF">
        <w:rPr>
          <w:rFonts w:eastAsia="Calibri"/>
          <w:iCs/>
          <w:bdr w:val="none" w:sz="0" w:space="0" w:color="auto" w:frame="1"/>
        </w:rPr>
        <w:t>t</w:t>
      </w:r>
      <w:r w:rsidR="005F53BE">
        <w:rPr>
          <w:rFonts w:eastAsia="Calibri"/>
          <w:iCs/>
          <w:bdr w:val="none" w:sz="0" w:space="0" w:color="auto" w:frame="1"/>
        </w:rPr>
        <w:t>he applicants</w:t>
      </w:r>
      <w:r w:rsidR="00E83CCE" w:rsidRPr="00E038CF">
        <w:rPr>
          <w:rFonts w:eastAsia="Calibri"/>
          <w:iCs/>
          <w:bdr w:val="none" w:sz="0" w:space="0" w:color="auto" w:frame="1"/>
        </w:rPr>
        <w:t xml:space="preserve"> state that the </w:t>
      </w:r>
      <w:r w:rsidR="0031452E" w:rsidRPr="00E038CF">
        <w:rPr>
          <w:rFonts w:eastAsia="Calibri"/>
          <w:iCs/>
          <w:bdr w:val="none" w:sz="0" w:space="0" w:color="auto" w:frame="1"/>
        </w:rPr>
        <w:t>Respondent is</w:t>
      </w:r>
      <w:r w:rsidR="00E83CCE" w:rsidRPr="00E038CF">
        <w:rPr>
          <w:rFonts w:eastAsia="Calibri"/>
          <w:iCs/>
          <w:bdr w:val="none" w:sz="0" w:space="0" w:color="auto" w:frame="1"/>
        </w:rPr>
        <w:t xml:space="preserve"> bound by the values in Artic</w:t>
      </w:r>
      <w:r w:rsidR="005F53BE">
        <w:rPr>
          <w:rFonts w:eastAsia="Calibri"/>
          <w:iCs/>
          <w:bdr w:val="none" w:sz="0" w:space="0" w:color="auto" w:frame="1"/>
        </w:rPr>
        <w:t>le 10 of the Constitution and must</w:t>
      </w:r>
      <w:r w:rsidR="00E83CCE" w:rsidRPr="00E038CF">
        <w:rPr>
          <w:rFonts w:eastAsia="Calibri"/>
          <w:iCs/>
          <w:bdr w:val="none" w:sz="0" w:space="0" w:color="auto" w:frame="1"/>
        </w:rPr>
        <w:t xml:space="preserve"> observe the Bill of rights as provided under Article 20 of the Constitution.</w:t>
      </w:r>
    </w:p>
    <w:p w:rsidR="00E83CCE" w:rsidRDefault="00E83CCE" w:rsidP="00E83CCE">
      <w:pPr>
        <w:pStyle w:val="ListParagraph"/>
        <w:rPr>
          <w:iCs/>
          <w:bdr w:val="none" w:sz="0" w:space="0" w:color="auto" w:frame="1"/>
        </w:rPr>
      </w:pPr>
    </w:p>
    <w:p w:rsidR="00E83CCE" w:rsidRPr="00E83CCE" w:rsidRDefault="00E83CCE" w:rsidP="00E83CCE">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sidRPr="00E83CCE">
        <w:rPr>
          <w:rFonts w:eastAsia="Calibri"/>
          <w:b/>
          <w:iCs/>
          <w:bdr w:val="none" w:sz="0" w:space="0" w:color="auto" w:frame="1"/>
        </w:rPr>
        <w:t>Reliefs sought</w:t>
      </w:r>
    </w:p>
    <w:p w:rsidR="00E83CCE" w:rsidRDefault="006F0024"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The applicants pray for the following </w:t>
      </w:r>
      <w:r w:rsidR="0031452E">
        <w:rPr>
          <w:rFonts w:eastAsia="Calibri"/>
          <w:iCs/>
          <w:bdr w:val="none" w:sz="0" w:space="0" w:color="auto" w:frame="1"/>
        </w:rPr>
        <w:t>orders:-</w:t>
      </w:r>
    </w:p>
    <w:p w:rsidR="0031452E" w:rsidRDefault="0031452E" w:rsidP="00043C39">
      <w:pPr>
        <w:pStyle w:val="NormalWeb"/>
        <w:numPr>
          <w:ilvl w:val="0"/>
          <w:numId w:val="3"/>
        </w:numPr>
        <w:shd w:val="clear" w:color="auto" w:fill="FFFFFF"/>
        <w:spacing w:before="0" w:beforeAutospacing="0" w:after="0" w:afterAutospacing="0"/>
        <w:jc w:val="both"/>
        <w:textAlignment w:val="baseline"/>
        <w:rPr>
          <w:rFonts w:eastAsia="Calibri"/>
          <w:i/>
          <w:iCs/>
          <w:sz w:val="22"/>
          <w:szCs w:val="22"/>
          <w:bdr w:val="none" w:sz="0" w:space="0" w:color="auto" w:frame="1"/>
        </w:rPr>
      </w:pPr>
      <w:r w:rsidRPr="00C77908">
        <w:rPr>
          <w:rFonts w:eastAsia="Calibri"/>
          <w:i/>
          <w:iCs/>
          <w:sz w:val="22"/>
          <w:szCs w:val="22"/>
          <w:bdr w:val="none" w:sz="0" w:space="0" w:color="auto" w:frame="1"/>
        </w:rPr>
        <w:t xml:space="preserve">A declaration that the Removal Notice is illegal and invalid because the manner in which it was conceptualized, developed and issued was illegal and in violation of the constitutional requirements provided in Articles 10, </w:t>
      </w:r>
      <w:r w:rsidR="00DF7EA0">
        <w:rPr>
          <w:rFonts w:eastAsia="Calibri"/>
          <w:i/>
          <w:iCs/>
          <w:sz w:val="22"/>
          <w:szCs w:val="22"/>
          <w:bdr w:val="none" w:sz="0" w:space="0" w:color="auto" w:frame="1"/>
        </w:rPr>
        <w:t>19, 20, 21,</w:t>
      </w:r>
      <w:r w:rsidRPr="00C77908">
        <w:rPr>
          <w:rFonts w:eastAsia="Calibri"/>
          <w:i/>
          <w:iCs/>
          <w:sz w:val="22"/>
          <w:szCs w:val="22"/>
          <w:bdr w:val="none" w:sz="0" w:space="0" w:color="auto" w:frame="1"/>
        </w:rPr>
        <w:t>26, 28, 40, 43 and 47.</w:t>
      </w:r>
    </w:p>
    <w:p w:rsidR="00C77908" w:rsidRPr="00C77908" w:rsidRDefault="00C77908" w:rsidP="00043C39">
      <w:pPr>
        <w:pStyle w:val="NormalWeb"/>
        <w:shd w:val="clear" w:color="auto" w:fill="FFFFFF"/>
        <w:spacing w:before="0" w:beforeAutospacing="0" w:after="0" w:afterAutospacing="0"/>
        <w:ind w:left="720"/>
        <w:jc w:val="both"/>
        <w:textAlignment w:val="baseline"/>
        <w:rPr>
          <w:rFonts w:eastAsia="Calibri"/>
          <w:i/>
          <w:iCs/>
          <w:sz w:val="22"/>
          <w:szCs w:val="22"/>
          <w:bdr w:val="none" w:sz="0" w:space="0" w:color="auto" w:frame="1"/>
        </w:rPr>
      </w:pPr>
    </w:p>
    <w:p w:rsidR="0031452E" w:rsidRDefault="0031452E" w:rsidP="00043C39">
      <w:pPr>
        <w:pStyle w:val="NormalWeb"/>
        <w:numPr>
          <w:ilvl w:val="0"/>
          <w:numId w:val="3"/>
        </w:numPr>
        <w:shd w:val="clear" w:color="auto" w:fill="FFFFFF"/>
        <w:spacing w:before="0" w:beforeAutospacing="0" w:after="0" w:afterAutospacing="0"/>
        <w:jc w:val="both"/>
        <w:textAlignment w:val="baseline"/>
        <w:rPr>
          <w:rFonts w:eastAsia="Calibri"/>
          <w:i/>
          <w:iCs/>
          <w:sz w:val="22"/>
          <w:szCs w:val="22"/>
          <w:bdr w:val="none" w:sz="0" w:space="0" w:color="auto" w:frame="1"/>
        </w:rPr>
      </w:pPr>
      <w:r w:rsidRPr="00C77908">
        <w:rPr>
          <w:rFonts w:eastAsia="Calibri"/>
          <w:i/>
          <w:iCs/>
          <w:sz w:val="22"/>
          <w:szCs w:val="22"/>
          <w:bdr w:val="none" w:sz="0" w:space="0" w:color="auto" w:frame="1"/>
        </w:rPr>
        <w:t>A</w:t>
      </w:r>
      <w:r w:rsidR="00C77908" w:rsidRPr="00C77908">
        <w:rPr>
          <w:rFonts w:eastAsia="Calibri"/>
          <w:i/>
          <w:iCs/>
          <w:sz w:val="22"/>
          <w:szCs w:val="22"/>
          <w:bdr w:val="none" w:sz="0" w:space="0" w:color="auto" w:frame="1"/>
        </w:rPr>
        <w:t xml:space="preserve"> </w:t>
      </w:r>
      <w:r w:rsidRPr="00C77908">
        <w:rPr>
          <w:rFonts w:eastAsia="Calibri"/>
          <w:i/>
          <w:iCs/>
          <w:sz w:val="22"/>
          <w:szCs w:val="22"/>
          <w:bdr w:val="none" w:sz="0" w:space="0" w:color="auto" w:frame="1"/>
        </w:rPr>
        <w:t>declaration that the Removal Notice violates the applicants rights to fair administrative act (Article 47), their right to property (Article 40), dignity (Article 28), life (Article 26) and their economic and social rights (Article 43).</w:t>
      </w:r>
    </w:p>
    <w:p w:rsidR="006864C5" w:rsidRDefault="006864C5" w:rsidP="006864C5">
      <w:pPr>
        <w:pStyle w:val="ListParagraph"/>
        <w:rPr>
          <w:i/>
          <w:iCs/>
          <w:bdr w:val="none" w:sz="0" w:space="0" w:color="auto" w:frame="1"/>
        </w:rPr>
      </w:pPr>
    </w:p>
    <w:p w:rsidR="00C77908" w:rsidRDefault="00C77908" w:rsidP="00043C39">
      <w:pPr>
        <w:pStyle w:val="NormalWeb"/>
        <w:numPr>
          <w:ilvl w:val="0"/>
          <w:numId w:val="3"/>
        </w:numPr>
        <w:shd w:val="clear" w:color="auto" w:fill="FFFFFF"/>
        <w:spacing w:before="0" w:beforeAutospacing="0" w:after="0" w:afterAutospacing="0"/>
        <w:jc w:val="both"/>
        <w:textAlignment w:val="baseline"/>
        <w:rPr>
          <w:rFonts w:eastAsia="Calibri"/>
          <w:i/>
          <w:iCs/>
          <w:sz w:val="22"/>
          <w:szCs w:val="22"/>
          <w:bdr w:val="none" w:sz="0" w:space="0" w:color="auto" w:frame="1"/>
        </w:rPr>
      </w:pPr>
      <w:r w:rsidRPr="00C77908">
        <w:rPr>
          <w:rFonts w:eastAsia="Calibri"/>
          <w:i/>
          <w:iCs/>
          <w:sz w:val="22"/>
          <w:szCs w:val="22"/>
          <w:bdr w:val="none" w:sz="0" w:space="0" w:color="auto" w:frame="1"/>
        </w:rPr>
        <w:t>An order of certiorari to remove to this honorable court to quash the Removal Notice</w:t>
      </w:r>
      <w:r>
        <w:rPr>
          <w:rFonts w:eastAsia="Calibri"/>
          <w:i/>
          <w:iCs/>
          <w:sz w:val="22"/>
          <w:szCs w:val="22"/>
          <w:bdr w:val="none" w:sz="0" w:space="0" w:color="auto" w:frame="1"/>
        </w:rPr>
        <w:t xml:space="preserve"> dated 2</w:t>
      </w:r>
      <w:r w:rsidR="00DF7EA0" w:rsidRPr="00DF7EA0">
        <w:rPr>
          <w:rFonts w:eastAsia="Calibri"/>
          <w:i/>
          <w:iCs/>
          <w:sz w:val="22"/>
          <w:szCs w:val="22"/>
          <w:bdr w:val="none" w:sz="0" w:space="0" w:color="auto" w:frame="1"/>
          <w:vertAlign w:val="superscript"/>
        </w:rPr>
        <w:t>nd</w:t>
      </w:r>
      <w:r w:rsidR="00DF7EA0">
        <w:rPr>
          <w:rFonts w:eastAsia="Calibri"/>
          <w:i/>
          <w:iCs/>
          <w:sz w:val="22"/>
          <w:szCs w:val="22"/>
          <w:bdr w:val="none" w:sz="0" w:space="0" w:color="auto" w:frame="1"/>
        </w:rPr>
        <w:t xml:space="preserve"> </w:t>
      </w:r>
      <w:r>
        <w:rPr>
          <w:rFonts w:eastAsia="Calibri"/>
          <w:i/>
          <w:iCs/>
          <w:sz w:val="22"/>
          <w:szCs w:val="22"/>
          <w:bdr w:val="none" w:sz="0" w:space="0" w:color="auto" w:frame="1"/>
        </w:rPr>
        <w:t>November 2018 issued by the Respondent requiring the applicants to move from their present position within 7 days from the date of service of the notice for breach of constitutional and statutory provision</w:t>
      </w:r>
      <w:r w:rsidR="00DF7EA0">
        <w:rPr>
          <w:rFonts w:eastAsia="Calibri"/>
          <w:i/>
          <w:iCs/>
          <w:sz w:val="22"/>
          <w:szCs w:val="22"/>
          <w:bdr w:val="none" w:sz="0" w:space="0" w:color="auto" w:frame="1"/>
        </w:rPr>
        <w:t>s</w:t>
      </w:r>
      <w:r>
        <w:rPr>
          <w:rFonts w:eastAsia="Calibri"/>
          <w:i/>
          <w:iCs/>
          <w:sz w:val="22"/>
          <w:szCs w:val="22"/>
          <w:bdr w:val="none" w:sz="0" w:space="0" w:color="auto" w:frame="1"/>
        </w:rPr>
        <w:t xml:space="preserve"> in relation to fair administrative actions by the government officials.</w:t>
      </w:r>
    </w:p>
    <w:p w:rsidR="006864C5" w:rsidRDefault="006864C5" w:rsidP="006864C5">
      <w:pPr>
        <w:pStyle w:val="NormalWeb"/>
        <w:shd w:val="clear" w:color="auto" w:fill="FFFFFF"/>
        <w:spacing w:before="0" w:beforeAutospacing="0" w:after="0" w:afterAutospacing="0"/>
        <w:ind w:left="720"/>
        <w:jc w:val="both"/>
        <w:textAlignment w:val="baseline"/>
        <w:rPr>
          <w:rFonts w:eastAsia="Calibri"/>
          <w:i/>
          <w:iCs/>
          <w:sz w:val="22"/>
          <w:szCs w:val="22"/>
          <w:bdr w:val="none" w:sz="0" w:space="0" w:color="auto" w:frame="1"/>
        </w:rPr>
      </w:pPr>
    </w:p>
    <w:p w:rsidR="00C77908" w:rsidRDefault="00C77908" w:rsidP="00043C39">
      <w:pPr>
        <w:pStyle w:val="NormalWeb"/>
        <w:numPr>
          <w:ilvl w:val="0"/>
          <w:numId w:val="3"/>
        </w:numPr>
        <w:shd w:val="clear" w:color="auto" w:fill="FFFFFF"/>
        <w:spacing w:before="0" w:beforeAutospacing="0" w:after="0" w:afterAutospacing="0"/>
        <w:jc w:val="both"/>
        <w:textAlignment w:val="baseline"/>
        <w:rPr>
          <w:rFonts w:eastAsia="Calibri"/>
          <w:i/>
          <w:iCs/>
          <w:sz w:val="22"/>
          <w:szCs w:val="22"/>
          <w:bdr w:val="none" w:sz="0" w:space="0" w:color="auto" w:frame="1"/>
        </w:rPr>
      </w:pPr>
      <w:r>
        <w:rPr>
          <w:rFonts w:eastAsia="Calibri"/>
          <w:i/>
          <w:iCs/>
          <w:sz w:val="22"/>
          <w:szCs w:val="22"/>
          <w:bdr w:val="none" w:sz="0" w:space="0" w:color="auto" w:frame="1"/>
        </w:rPr>
        <w:lastRenderedPageBreak/>
        <w:t xml:space="preserve">An order of Mandamus compelling the Respondent to honour the terms stipulated in the </w:t>
      </w:r>
      <w:r w:rsidR="00DF7EA0">
        <w:rPr>
          <w:rFonts w:eastAsia="Calibri"/>
          <w:i/>
          <w:iCs/>
          <w:sz w:val="22"/>
          <w:szCs w:val="22"/>
          <w:bdr w:val="none" w:sz="0" w:space="0" w:color="auto" w:frame="1"/>
        </w:rPr>
        <w:t>Respondent in the single business permit issued to the applicant by the Respondent on 22</w:t>
      </w:r>
      <w:r w:rsidR="00DF7EA0" w:rsidRPr="00DF7EA0">
        <w:rPr>
          <w:rFonts w:eastAsia="Calibri"/>
          <w:i/>
          <w:iCs/>
          <w:sz w:val="22"/>
          <w:szCs w:val="22"/>
          <w:bdr w:val="none" w:sz="0" w:space="0" w:color="auto" w:frame="1"/>
          <w:vertAlign w:val="superscript"/>
        </w:rPr>
        <w:t>nd</w:t>
      </w:r>
      <w:r w:rsidR="00DF7EA0">
        <w:rPr>
          <w:rFonts w:eastAsia="Calibri"/>
          <w:i/>
          <w:iCs/>
          <w:sz w:val="22"/>
          <w:szCs w:val="22"/>
          <w:bdr w:val="none" w:sz="0" w:space="0" w:color="auto" w:frame="1"/>
        </w:rPr>
        <w:t xml:space="preserve"> January 2018.</w:t>
      </w:r>
    </w:p>
    <w:p w:rsidR="0016167B" w:rsidRDefault="0016167B" w:rsidP="0016167B">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sidRPr="0016167B">
        <w:rPr>
          <w:rFonts w:eastAsia="Calibri"/>
          <w:b/>
          <w:iCs/>
          <w:bdr w:val="none" w:sz="0" w:space="0" w:color="auto" w:frame="1"/>
        </w:rPr>
        <w:t>Applicants further Affidavit</w:t>
      </w:r>
    </w:p>
    <w:p w:rsidR="00537F64" w:rsidRPr="0016167B" w:rsidRDefault="00537F64" w:rsidP="0016167B">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p>
    <w:p w:rsidR="0031452E" w:rsidRDefault="00DF7EA0"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The applicants filed the further Affidavit of Daniel Kaminja dated 25</w:t>
      </w:r>
      <w:r w:rsidRPr="00DF7EA0">
        <w:rPr>
          <w:rFonts w:eastAsia="Calibri"/>
          <w:iCs/>
          <w:bdr w:val="none" w:sz="0" w:space="0" w:color="auto" w:frame="1"/>
          <w:vertAlign w:val="superscript"/>
        </w:rPr>
        <w:t>th</w:t>
      </w:r>
      <w:r>
        <w:rPr>
          <w:rFonts w:eastAsia="Calibri"/>
          <w:iCs/>
          <w:bdr w:val="none" w:sz="0" w:space="0" w:color="auto" w:frame="1"/>
        </w:rPr>
        <w:t xml:space="preserve"> February 2019 annexing the 2019 permit</w:t>
      </w:r>
      <w:r w:rsidR="006864C5">
        <w:rPr>
          <w:rFonts w:eastAsia="Calibri"/>
          <w:iCs/>
          <w:bdr w:val="none" w:sz="0" w:space="0" w:color="auto" w:frame="1"/>
        </w:rPr>
        <w:t>s</w:t>
      </w:r>
      <w:r>
        <w:rPr>
          <w:rFonts w:eastAsia="Calibri"/>
          <w:iCs/>
          <w:bdr w:val="none" w:sz="0" w:space="0" w:color="auto" w:frame="1"/>
        </w:rPr>
        <w:t xml:space="preserve">. </w:t>
      </w:r>
    </w:p>
    <w:p w:rsidR="00854AB6" w:rsidRDefault="00854AB6" w:rsidP="00854AB6">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854AB6" w:rsidRDefault="00854AB6" w:rsidP="00854AB6">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sidRPr="00854AB6">
        <w:rPr>
          <w:rFonts w:eastAsia="Calibri"/>
          <w:b/>
          <w:iCs/>
          <w:bdr w:val="none" w:sz="0" w:space="0" w:color="auto" w:frame="1"/>
        </w:rPr>
        <w:t>The Respondent</w:t>
      </w:r>
      <w:r>
        <w:rPr>
          <w:rFonts w:eastAsia="Calibri"/>
          <w:b/>
          <w:iCs/>
          <w:bdr w:val="none" w:sz="0" w:space="0" w:color="auto" w:frame="1"/>
        </w:rPr>
        <w:t>’</w:t>
      </w:r>
      <w:r w:rsidRPr="00854AB6">
        <w:rPr>
          <w:rFonts w:eastAsia="Calibri"/>
          <w:b/>
          <w:iCs/>
          <w:bdr w:val="none" w:sz="0" w:space="0" w:color="auto" w:frame="1"/>
        </w:rPr>
        <w:t>s failure to file a Response</w:t>
      </w:r>
    </w:p>
    <w:p w:rsidR="00E733F5" w:rsidRPr="00854AB6" w:rsidRDefault="00E733F5" w:rsidP="00854AB6">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p>
    <w:p w:rsidR="00B12F89" w:rsidRPr="00043C39" w:rsidRDefault="00854AB6" w:rsidP="00043C39">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On 27</w:t>
      </w:r>
      <w:r w:rsidRPr="00854AB6">
        <w:rPr>
          <w:rFonts w:eastAsia="Calibri"/>
          <w:iCs/>
          <w:bdr w:val="none" w:sz="0" w:space="0" w:color="auto" w:frame="1"/>
          <w:vertAlign w:val="superscript"/>
        </w:rPr>
        <w:t>th</w:t>
      </w:r>
      <w:r>
        <w:rPr>
          <w:rFonts w:eastAsia="Calibri"/>
          <w:iCs/>
          <w:bdr w:val="none" w:sz="0" w:space="0" w:color="auto" w:frame="1"/>
        </w:rPr>
        <w:t xml:space="preserve"> November 2018</w:t>
      </w:r>
      <w:r w:rsidR="009E2615">
        <w:rPr>
          <w:rFonts w:eastAsia="Calibri"/>
          <w:iCs/>
          <w:bdr w:val="none" w:sz="0" w:space="0" w:color="auto" w:frame="1"/>
        </w:rPr>
        <w:t>, in</w:t>
      </w:r>
      <w:r>
        <w:rPr>
          <w:rFonts w:eastAsia="Calibri"/>
          <w:iCs/>
          <w:bdr w:val="none" w:sz="0" w:space="0" w:color="auto" w:frame="1"/>
        </w:rPr>
        <w:t xml:space="preserve"> the presence of counsel </w:t>
      </w:r>
      <w:r w:rsidR="009E2615">
        <w:rPr>
          <w:rFonts w:eastAsia="Calibri"/>
          <w:iCs/>
          <w:bdr w:val="none" w:sz="0" w:space="0" w:color="auto" w:frame="1"/>
        </w:rPr>
        <w:t>for both</w:t>
      </w:r>
      <w:r>
        <w:rPr>
          <w:rFonts w:eastAsia="Calibri"/>
          <w:iCs/>
          <w:bdr w:val="none" w:sz="0" w:space="0" w:color="auto" w:frame="1"/>
        </w:rPr>
        <w:t xml:space="preserve"> parties</w:t>
      </w:r>
      <w:r w:rsidR="009E2615">
        <w:rPr>
          <w:rFonts w:eastAsia="Calibri"/>
          <w:iCs/>
          <w:bdr w:val="none" w:sz="0" w:space="0" w:color="auto" w:frame="1"/>
        </w:rPr>
        <w:t>,</w:t>
      </w:r>
      <w:r w:rsidR="00537F64">
        <w:rPr>
          <w:rFonts w:eastAsia="Calibri"/>
          <w:iCs/>
          <w:bdr w:val="none" w:sz="0" w:space="0" w:color="auto" w:frame="1"/>
        </w:rPr>
        <w:t xml:space="preserve"> I directed the Respondent</w:t>
      </w:r>
      <w:r>
        <w:rPr>
          <w:rFonts w:eastAsia="Calibri"/>
          <w:iCs/>
          <w:bdr w:val="none" w:sz="0" w:space="0" w:color="auto" w:frame="1"/>
        </w:rPr>
        <w:t xml:space="preserve"> to </w:t>
      </w:r>
      <w:r w:rsidR="00537F64">
        <w:rPr>
          <w:rFonts w:eastAsia="Calibri"/>
          <w:iCs/>
          <w:bdr w:val="none" w:sz="0" w:space="0" w:color="auto" w:frame="1"/>
        </w:rPr>
        <w:t>file its</w:t>
      </w:r>
      <w:r>
        <w:rPr>
          <w:rFonts w:eastAsia="Calibri"/>
          <w:iCs/>
          <w:bdr w:val="none" w:sz="0" w:space="0" w:color="auto" w:frame="1"/>
        </w:rPr>
        <w:t xml:space="preserve"> response within 7 days from date </w:t>
      </w:r>
      <w:r w:rsidR="00537F64">
        <w:rPr>
          <w:rFonts w:eastAsia="Calibri"/>
          <w:iCs/>
          <w:bdr w:val="none" w:sz="0" w:space="0" w:color="auto" w:frame="1"/>
        </w:rPr>
        <w:t>of service of</w:t>
      </w:r>
      <w:r w:rsidR="00B12F89">
        <w:rPr>
          <w:rFonts w:eastAsia="Calibri"/>
          <w:iCs/>
          <w:bdr w:val="none" w:sz="0" w:space="0" w:color="auto" w:frame="1"/>
        </w:rPr>
        <w:t xml:space="preserve"> the substantive a</w:t>
      </w:r>
      <w:r>
        <w:rPr>
          <w:rFonts w:eastAsia="Calibri"/>
          <w:iCs/>
          <w:bdr w:val="none" w:sz="0" w:space="0" w:color="auto" w:frame="1"/>
        </w:rPr>
        <w:t>pp</w:t>
      </w:r>
      <w:r w:rsidR="00B12F89">
        <w:rPr>
          <w:rFonts w:eastAsia="Calibri"/>
          <w:iCs/>
          <w:bdr w:val="none" w:sz="0" w:space="0" w:color="auto" w:frame="1"/>
        </w:rPr>
        <w:t>lication and scheduled the case for mention on 27</w:t>
      </w:r>
      <w:r w:rsidR="00B12F89" w:rsidRPr="00B12F89">
        <w:rPr>
          <w:rFonts w:eastAsia="Calibri"/>
          <w:iCs/>
          <w:bdr w:val="none" w:sz="0" w:space="0" w:color="auto" w:frame="1"/>
          <w:vertAlign w:val="superscript"/>
        </w:rPr>
        <w:t>th</w:t>
      </w:r>
      <w:r w:rsidR="00B12F89">
        <w:rPr>
          <w:rFonts w:eastAsia="Calibri"/>
          <w:iCs/>
          <w:bdr w:val="none" w:sz="0" w:space="0" w:color="auto" w:frame="1"/>
        </w:rPr>
        <w:t xml:space="preserve"> February 2019. However, on the said date, no reply had been filed. I again granted the Respondent 14 days to fi</w:t>
      </w:r>
      <w:r w:rsidR="009E2615">
        <w:rPr>
          <w:rFonts w:eastAsia="Calibri"/>
          <w:iCs/>
          <w:bdr w:val="none" w:sz="0" w:space="0" w:color="auto" w:frame="1"/>
        </w:rPr>
        <w:t>le their Response and directed</w:t>
      </w:r>
      <w:r w:rsidR="00B12F89">
        <w:rPr>
          <w:rFonts w:eastAsia="Calibri"/>
          <w:iCs/>
          <w:bdr w:val="none" w:sz="0" w:space="0" w:color="auto" w:frame="1"/>
        </w:rPr>
        <w:t xml:space="preserve"> the parties to file submissions. However, the Respondent never filed any response, and on 24</w:t>
      </w:r>
      <w:r w:rsidR="00B12F89" w:rsidRPr="00B12F89">
        <w:rPr>
          <w:rFonts w:eastAsia="Calibri"/>
          <w:iCs/>
          <w:bdr w:val="none" w:sz="0" w:space="0" w:color="auto" w:frame="1"/>
          <w:vertAlign w:val="superscript"/>
        </w:rPr>
        <w:t>th</w:t>
      </w:r>
      <w:r w:rsidR="00B12F89">
        <w:rPr>
          <w:rFonts w:eastAsia="Calibri"/>
          <w:iCs/>
          <w:bdr w:val="none" w:sz="0" w:space="0" w:color="auto" w:frame="1"/>
        </w:rPr>
        <w:t xml:space="preserve"> April 2019, I again granted them 14 days to file their response and ordered that in default the case would proceed. Again, on 11</w:t>
      </w:r>
      <w:r w:rsidR="00B12F89" w:rsidRPr="00B12F89">
        <w:rPr>
          <w:rFonts w:eastAsia="Calibri"/>
          <w:iCs/>
          <w:bdr w:val="none" w:sz="0" w:space="0" w:color="auto" w:frame="1"/>
          <w:vertAlign w:val="superscript"/>
        </w:rPr>
        <w:t>th</w:t>
      </w:r>
      <w:r w:rsidR="00B12F89">
        <w:rPr>
          <w:rFonts w:eastAsia="Calibri"/>
          <w:iCs/>
          <w:bdr w:val="none" w:sz="0" w:space="0" w:color="auto" w:frame="1"/>
        </w:rPr>
        <w:t xml:space="preserve"> June 2019 when the matter came up in co</w:t>
      </w:r>
      <w:r w:rsidR="00F541E3">
        <w:rPr>
          <w:rFonts w:eastAsia="Calibri"/>
          <w:iCs/>
          <w:bdr w:val="none" w:sz="0" w:space="0" w:color="auto" w:frame="1"/>
        </w:rPr>
        <w:t>urt next, no</w:t>
      </w:r>
      <w:r w:rsidR="00B12F89">
        <w:rPr>
          <w:rFonts w:eastAsia="Calibri"/>
          <w:iCs/>
          <w:bdr w:val="none" w:sz="0" w:space="0" w:color="auto" w:frame="1"/>
        </w:rPr>
        <w:t xml:space="preserve"> reply had been filed</w:t>
      </w:r>
      <w:r w:rsidR="00F541E3">
        <w:rPr>
          <w:rFonts w:eastAsia="Calibri"/>
          <w:iCs/>
          <w:bdr w:val="none" w:sz="0" w:space="0" w:color="auto" w:frame="1"/>
        </w:rPr>
        <w:t>.</w:t>
      </w:r>
      <w:r w:rsidR="00B12F89">
        <w:rPr>
          <w:rFonts w:eastAsia="Calibri"/>
          <w:iCs/>
          <w:bdr w:val="none" w:sz="0" w:space="0" w:color="auto" w:frame="1"/>
        </w:rPr>
        <w:t xml:space="preserve"> I once again granted the Respondent 7 days to comply in d</w:t>
      </w:r>
      <w:r w:rsidR="00043C39">
        <w:rPr>
          <w:rFonts w:eastAsia="Calibri"/>
          <w:iCs/>
          <w:bdr w:val="none" w:sz="0" w:space="0" w:color="auto" w:frame="1"/>
        </w:rPr>
        <w:t xml:space="preserve">efault, the suit would proceed </w:t>
      </w:r>
      <w:r w:rsidR="00B12F89">
        <w:rPr>
          <w:rFonts w:eastAsia="Calibri"/>
          <w:iCs/>
          <w:bdr w:val="none" w:sz="0" w:space="0" w:color="auto" w:frame="1"/>
        </w:rPr>
        <w:t>on 31</w:t>
      </w:r>
      <w:r w:rsidR="00B12F89" w:rsidRPr="00B12F89">
        <w:rPr>
          <w:rFonts w:eastAsia="Calibri"/>
          <w:iCs/>
          <w:bdr w:val="none" w:sz="0" w:space="0" w:color="auto" w:frame="1"/>
          <w:vertAlign w:val="superscript"/>
        </w:rPr>
        <w:t>st</w:t>
      </w:r>
      <w:r w:rsidR="00B12F89">
        <w:rPr>
          <w:rFonts w:eastAsia="Calibri"/>
          <w:iCs/>
          <w:bdr w:val="none" w:sz="0" w:space="0" w:color="auto" w:frame="1"/>
        </w:rPr>
        <w:t xml:space="preserve"> July 2019.</w:t>
      </w:r>
      <w:r w:rsidR="00043C39">
        <w:rPr>
          <w:rFonts w:eastAsia="Calibri"/>
          <w:iCs/>
          <w:bdr w:val="none" w:sz="0" w:space="0" w:color="auto" w:frame="1"/>
        </w:rPr>
        <w:t xml:space="preserve"> </w:t>
      </w:r>
      <w:r w:rsidR="00B12F89" w:rsidRPr="00043C39">
        <w:rPr>
          <w:rFonts w:eastAsia="Calibri"/>
          <w:iCs/>
          <w:bdr w:val="none" w:sz="0" w:space="0" w:color="auto" w:frame="1"/>
        </w:rPr>
        <w:t>L</w:t>
      </w:r>
      <w:r w:rsidR="007A28E5" w:rsidRPr="00043C39">
        <w:rPr>
          <w:rFonts w:eastAsia="Calibri"/>
          <w:iCs/>
          <w:bdr w:val="none" w:sz="0" w:space="0" w:color="auto" w:frame="1"/>
        </w:rPr>
        <w:t>astly, on 31</w:t>
      </w:r>
      <w:r w:rsidR="007A28E5" w:rsidRPr="00043C39">
        <w:rPr>
          <w:rFonts w:eastAsia="Calibri"/>
          <w:iCs/>
          <w:bdr w:val="none" w:sz="0" w:space="0" w:color="auto" w:frame="1"/>
          <w:vertAlign w:val="superscript"/>
        </w:rPr>
        <w:t>st</w:t>
      </w:r>
      <w:r w:rsidR="007A28E5" w:rsidRPr="00043C39">
        <w:rPr>
          <w:rFonts w:eastAsia="Calibri"/>
          <w:iCs/>
          <w:bdr w:val="none" w:sz="0" w:space="0" w:color="auto" w:frame="1"/>
        </w:rPr>
        <w:t xml:space="preserve"> July 2019, the Responden</w:t>
      </w:r>
      <w:r w:rsidR="00043C39">
        <w:rPr>
          <w:rFonts w:eastAsia="Calibri"/>
          <w:iCs/>
          <w:bdr w:val="none" w:sz="0" w:space="0" w:color="auto" w:frame="1"/>
        </w:rPr>
        <w:t>ts counsel did not attend court.</w:t>
      </w:r>
      <w:r w:rsidR="007A28E5" w:rsidRPr="00043C39">
        <w:rPr>
          <w:rFonts w:eastAsia="Calibri"/>
          <w:iCs/>
          <w:bdr w:val="none" w:sz="0" w:space="0" w:color="auto" w:frame="1"/>
        </w:rPr>
        <w:t xml:space="preserve"> </w:t>
      </w:r>
      <w:r w:rsidR="00043C39">
        <w:rPr>
          <w:rFonts w:eastAsia="Calibri"/>
          <w:iCs/>
          <w:bdr w:val="none" w:sz="0" w:space="0" w:color="auto" w:frame="1"/>
        </w:rPr>
        <w:t>I directed that the</w:t>
      </w:r>
      <w:r w:rsidR="007A28E5" w:rsidRPr="00043C39">
        <w:rPr>
          <w:rFonts w:eastAsia="Calibri"/>
          <w:iCs/>
          <w:bdr w:val="none" w:sz="0" w:space="0" w:color="auto" w:frame="1"/>
        </w:rPr>
        <w:t xml:space="preserve"> hearin</w:t>
      </w:r>
      <w:r w:rsidR="00537F64">
        <w:rPr>
          <w:rFonts w:eastAsia="Calibri"/>
          <w:iCs/>
          <w:bdr w:val="none" w:sz="0" w:space="0" w:color="auto" w:frame="1"/>
        </w:rPr>
        <w:t>g proceeds the</w:t>
      </w:r>
      <w:r w:rsidR="00043C39">
        <w:rPr>
          <w:rFonts w:eastAsia="Calibri"/>
          <w:iCs/>
          <w:bdr w:val="none" w:sz="0" w:space="0" w:color="auto" w:frame="1"/>
        </w:rPr>
        <w:t xml:space="preserve"> absence notwithstanding.</w:t>
      </w:r>
    </w:p>
    <w:p w:rsidR="007A28E5" w:rsidRDefault="007A28E5" w:rsidP="007A28E5">
      <w:pPr>
        <w:pStyle w:val="ListParagraph"/>
        <w:rPr>
          <w:iCs/>
          <w:bdr w:val="none" w:sz="0" w:space="0" w:color="auto" w:frame="1"/>
        </w:rPr>
      </w:pPr>
    </w:p>
    <w:p w:rsidR="007A28E5" w:rsidRPr="007A28E5" w:rsidRDefault="007A28E5" w:rsidP="007A28E5">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sidRPr="007A28E5">
        <w:rPr>
          <w:rFonts w:eastAsia="Calibri"/>
          <w:b/>
          <w:iCs/>
          <w:bdr w:val="none" w:sz="0" w:space="0" w:color="auto" w:frame="1"/>
        </w:rPr>
        <w:t>Applicant’s Advocates Submissions</w:t>
      </w:r>
    </w:p>
    <w:p w:rsidR="007A28E5" w:rsidRDefault="007A28E5" w:rsidP="007A28E5">
      <w:pPr>
        <w:pStyle w:val="ListParagraph"/>
        <w:rPr>
          <w:iCs/>
          <w:bdr w:val="none" w:sz="0" w:space="0" w:color="auto" w:frame="1"/>
        </w:rPr>
      </w:pPr>
    </w:p>
    <w:p w:rsidR="007A28E5" w:rsidRDefault="007A28E5"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The applicants’ counsel </w:t>
      </w:r>
      <w:r w:rsidR="00904415">
        <w:rPr>
          <w:rFonts w:eastAsia="Calibri"/>
          <w:iCs/>
          <w:bdr w:val="none" w:sz="0" w:space="0" w:color="auto" w:frame="1"/>
        </w:rPr>
        <w:t>cited Article 47 of the Constitution and section 4 to 6 of the F</w:t>
      </w:r>
      <w:r w:rsidR="00AF32DD">
        <w:rPr>
          <w:rFonts w:eastAsia="Calibri"/>
          <w:iCs/>
          <w:bdr w:val="none" w:sz="0" w:space="0" w:color="auto" w:frame="1"/>
        </w:rPr>
        <w:t>A</w:t>
      </w:r>
      <w:r w:rsidR="00904415">
        <w:rPr>
          <w:rFonts w:eastAsia="Calibri"/>
          <w:iCs/>
          <w:bdr w:val="none" w:sz="0" w:space="0" w:color="auto" w:frame="1"/>
        </w:rPr>
        <w:t xml:space="preserve">A Act and </w:t>
      </w:r>
      <w:r>
        <w:rPr>
          <w:rFonts w:eastAsia="Calibri"/>
          <w:iCs/>
          <w:bdr w:val="none" w:sz="0" w:space="0" w:color="auto" w:frame="1"/>
        </w:rPr>
        <w:t>submitted that</w:t>
      </w:r>
      <w:r w:rsidR="00904415">
        <w:rPr>
          <w:rFonts w:eastAsia="Calibri"/>
          <w:iCs/>
          <w:bdr w:val="none" w:sz="0" w:space="0" w:color="auto" w:frame="1"/>
        </w:rPr>
        <w:t xml:space="preserve"> the Removal Notice is illegal and irregular because it violates </w:t>
      </w:r>
      <w:r w:rsidR="009C0AAA">
        <w:rPr>
          <w:rFonts w:eastAsia="Calibri"/>
          <w:iCs/>
          <w:bdr w:val="none" w:sz="0" w:space="0" w:color="auto" w:frame="1"/>
        </w:rPr>
        <w:t>the applicant’s</w:t>
      </w:r>
      <w:r w:rsidR="00904415">
        <w:rPr>
          <w:rFonts w:eastAsia="Calibri"/>
          <w:iCs/>
          <w:bdr w:val="none" w:sz="0" w:space="0" w:color="auto" w:frame="1"/>
        </w:rPr>
        <w:t xml:space="preserve"> rights under the said provisions. </w:t>
      </w:r>
      <w:r w:rsidR="009C0AAA">
        <w:rPr>
          <w:rFonts w:eastAsia="Calibri"/>
          <w:iCs/>
          <w:bdr w:val="none" w:sz="0" w:space="0" w:color="auto" w:frame="1"/>
        </w:rPr>
        <w:t xml:space="preserve">Counsel cited </w:t>
      </w:r>
      <w:r w:rsidR="009C0AAA" w:rsidRPr="009C0AAA">
        <w:rPr>
          <w:rFonts w:eastAsia="Calibri"/>
          <w:i/>
          <w:iCs/>
          <w:bdr w:val="none" w:sz="0" w:space="0" w:color="auto" w:frame="1"/>
        </w:rPr>
        <w:t xml:space="preserve">Geothermal Development Company Limited v Attorney General &amp; 4 </w:t>
      </w:r>
      <w:r w:rsidR="00AF32DD" w:rsidRPr="009C0AAA">
        <w:rPr>
          <w:rFonts w:eastAsia="Calibri"/>
          <w:i/>
          <w:iCs/>
          <w:bdr w:val="none" w:sz="0" w:space="0" w:color="auto" w:frame="1"/>
        </w:rPr>
        <w:t>others</w:t>
      </w:r>
      <w:r w:rsidR="009C0AAA">
        <w:rPr>
          <w:rStyle w:val="FootnoteReference"/>
          <w:rFonts w:eastAsia="Calibri"/>
          <w:iCs/>
          <w:bdr w:val="none" w:sz="0" w:space="0" w:color="auto" w:frame="1"/>
        </w:rPr>
        <w:footnoteReference w:id="2"/>
      </w:r>
      <w:r w:rsidR="009C0AAA">
        <w:rPr>
          <w:rFonts w:eastAsia="Calibri"/>
          <w:iCs/>
          <w:bdr w:val="none" w:sz="0" w:space="0" w:color="auto" w:frame="1"/>
        </w:rPr>
        <w:t xml:space="preserve">which emphasized that service of Notice is a matter of procedural fairness and an important component of natural justice. Counsel argued that the failure </w:t>
      </w:r>
      <w:r w:rsidR="00AF32DD">
        <w:rPr>
          <w:rFonts w:eastAsia="Calibri"/>
          <w:iCs/>
          <w:bdr w:val="none" w:sz="0" w:space="0" w:color="auto" w:frame="1"/>
        </w:rPr>
        <w:t>to notify</w:t>
      </w:r>
      <w:r w:rsidR="009C0AAA">
        <w:rPr>
          <w:rFonts w:eastAsia="Calibri"/>
          <w:iCs/>
          <w:bdr w:val="none" w:sz="0" w:space="0" w:color="auto" w:frame="1"/>
        </w:rPr>
        <w:t xml:space="preserve"> them of the intention to remove them violates their right to a fair administrative action.</w:t>
      </w:r>
      <w:r w:rsidR="00AF32DD">
        <w:rPr>
          <w:rFonts w:eastAsia="Calibri"/>
          <w:iCs/>
          <w:bdr w:val="none" w:sz="0" w:space="0" w:color="auto" w:frame="1"/>
        </w:rPr>
        <w:t xml:space="preserve"> To buttress his argument,</w:t>
      </w:r>
      <w:r w:rsidR="0099476C">
        <w:rPr>
          <w:rFonts w:eastAsia="Calibri"/>
          <w:iCs/>
          <w:bdr w:val="none" w:sz="0" w:space="0" w:color="auto" w:frame="1"/>
        </w:rPr>
        <w:t xml:space="preserve"> counsel cited </w:t>
      </w:r>
      <w:r w:rsidR="009C0AAA" w:rsidRPr="00AF32DD">
        <w:rPr>
          <w:rFonts w:eastAsia="Calibri"/>
          <w:i/>
          <w:iCs/>
          <w:bdr w:val="none" w:sz="0" w:space="0" w:color="auto" w:frame="1"/>
        </w:rPr>
        <w:t xml:space="preserve">Republic v National Land Commission ex parte Krystalline </w:t>
      </w:r>
      <w:r w:rsidR="009C0AAA" w:rsidRPr="00AF32DD">
        <w:rPr>
          <w:rFonts w:eastAsia="Calibri"/>
          <w:i/>
          <w:iCs/>
          <w:bdr w:val="none" w:sz="0" w:space="0" w:color="auto" w:frame="1"/>
        </w:rPr>
        <w:lastRenderedPageBreak/>
        <w:t>Salt Limited</w:t>
      </w:r>
      <w:r w:rsidR="009C0AAA">
        <w:rPr>
          <w:rStyle w:val="FootnoteReference"/>
          <w:rFonts w:eastAsia="Calibri"/>
          <w:iCs/>
          <w:bdr w:val="none" w:sz="0" w:space="0" w:color="auto" w:frame="1"/>
        </w:rPr>
        <w:footnoteReference w:id="3"/>
      </w:r>
      <w:r w:rsidR="00AF32DD">
        <w:rPr>
          <w:rFonts w:eastAsia="Calibri"/>
          <w:iCs/>
          <w:bdr w:val="none" w:sz="0" w:space="0" w:color="auto" w:frame="1"/>
        </w:rPr>
        <w:t xml:space="preserve"> and </w:t>
      </w:r>
      <w:r w:rsidR="0099476C" w:rsidRPr="00AF32DD">
        <w:rPr>
          <w:rFonts w:eastAsia="Calibri"/>
          <w:i/>
          <w:iCs/>
          <w:bdr w:val="none" w:sz="0" w:space="0" w:color="auto" w:frame="1"/>
        </w:rPr>
        <w:t xml:space="preserve">Republic v National Land </w:t>
      </w:r>
      <w:r w:rsidR="00E1281D" w:rsidRPr="00AF32DD">
        <w:rPr>
          <w:rFonts w:eastAsia="Calibri"/>
          <w:i/>
          <w:iCs/>
          <w:bdr w:val="none" w:sz="0" w:space="0" w:color="auto" w:frame="1"/>
        </w:rPr>
        <w:t>commission &amp;</w:t>
      </w:r>
      <w:r w:rsidR="0099476C" w:rsidRPr="00AF32DD">
        <w:rPr>
          <w:rFonts w:eastAsia="Calibri"/>
          <w:i/>
          <w:iCs/>
          <w:bdr w:val="none" w:sz="0" w:space="0" w:color="auto" w:frame="1"/>
        </w:rPr>
        <w:t xml:space="preserve"> </w:t>
      </w:r>
      <w:r w:rsidR="00E1281D" w:rsidRPr="00AF32DD">
        <w:rPr>
          <w:rFonts w:eastAsia="Calibri"/>
          <w:i/>
          <w:iCs/>
          <w:bdr w:val="none" w:sz="0" w:space="0" w:color="auto" w:frame="1"/>
        </w:rPr>
        <w:t>another</w:t>
      </w:r>
      <w:r w:rsidR="009C2FEF" w:rsidRPr="00AF32DD">
        <w:rPr>
          <w:rFonts w:eastAsia="Calibri"/>
          <w:i/>
          <w:iCs/>
          <w:bdr w:val="none" w:sz="0" w:space="0" w:color="auto" w:frame="1"/>
        </w:rPr>
        <w:t>.</w:t>
      </w:r>
      <w:r w:rsidR="0099476C">
        <w:rPr>
          <w:rStyle w:val="FootnoteReference"/>
          <w:rFonts w:eastAsia="Calibri"/>
          <w:iCs/>
          <w:bdr w:val="none" w:sz="0" w:space="0" w:color="auto" w:frame="1"/>
        </w:rPr>
        <w:footnoteReference w:id="4"/>
      </w:r>
      <w:r w:rsidR="009C2FEF">
        <w:rPr>
          <w:rFonts w:eastAsia="Calibri"/>
          <w:iCs/>
          <w:bdr w:val="none" w:sz="0" w:space="0" w:color="auto" w:frame="1"/>
        </w:rPr>
        <w:t xml:space="preserve"> Citing </w:t>
      </w:r>
      <w:r w:rsidR="009C2FEF" w:rsidRPr="00AF32DD">
        <w:rPr>
          <w:rFonts w:eastAsia="Calibri"/>
          <w:i/>
          <w:iCs/>
          <w:bdr w:val="none" w:sz="0" w:space="0" w:color="auto" w:frame="1"/>
        </w:rPr>
        <w:t>Pastoli v Kabale v Kabale District Local Government Council &amp; Others</w:t>
      </w:r>
      <w:r w:rsidR="009C2FEF">
        <w:rPr>
          <w:rStyle w:val="FootnoteReference"/>
          <w:rFonts w:eastAsia="Calibri"/>
          <w:iCs/>
          <w:bdr w:val="none" w:sz="0" w:space="0" w:color="auto" w:frame="1"/>
        </w:rPr>
        <w:footnoteReference w:id="5"/>
      </w:r>
      <w:r w:rsidR="009C2FEF">
        <w:rPr>
          <w:rFonts w:eastAsia="Calibri"/>
          <w:iCs/>
          <w:bdr w:val="none" w:sz="0" w:space="0" w:color="auto" w:frame="1"/>
        </w:rPr>
        <w:t xml:space="preserve"> counsel argued that procedural impropriety is a ground for judicial review.</w:t>
      </w:r>
    </w:p>
    <w:p w:rsidR="009C2FEF" w:rsidRDefault="009C2FEF" w:rsidP="009C2FEF">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9C2FEF" w:rsidRDefault="00B06A5B"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Additionally, </w:t>
      </w:r>
      <w:r w:rsidR="0046449D">
        <w:rPr>
          <w:rFonts w:eastAsia="Calibri"/>
          <w:iCs/>
          <w:bdr w:val="none" w:sz="0" w:space="0" w:color="auto" w:frame="1"/>
        </w:rPr>
        <w:t>counsel</w:t>
      </w:r>
      <w:r w:rsidR="009C2FEF">
        <w:rPr>
          <w:rFonts w:eastAsia="Calibri"/>
          <w:iCs/>
          <w:bdr w:val="none" w:sz="0" w:space="0" w:color="auto" w:frame="1"/>
        </w:rPr>
        <w:t xml:space="preserve"> argued that having been issued with the license for 2018 and 2019, the applicants have a legitimate expectation that that they would not be re</w:t>
      </w:r>
      <w:r w:rsidR="0046449D">
        <w:rPr>
          <w:rFonts w:eastAsia="Calibri"/>
          <w:iCs/>
          <w:bdr w:val="none" w:sz="0" w:space="0" w:color="auto" w:frame="1"/>
        </w:rPr>
        <w:t xml:space="preserve">moved. Reliance was placed on </w:t>
      </w:r>
      <w:r w:rsidR="0046449D" w:rsidRPr="0046449D">
        <w:rPr>
          <w:rFonts w:eastAsia="Calibri"/>
          <w:i/>
          <w:iCs/>
          <w:bdr w:val="none" w:sz="0" w:space="0" w:color="auto" w:frame="1"/>
        </w:rPr>
        <w:t>K</w:t>
      </w:r>
      <w:r w:rsidR="009C2FEF" w:rsidRPr="0046449D">
        <w:rPr>
          <w:rFonts w:eastAsia="Calibri"/>
          <w:i/>
          <w:iCs/>
          <w:bdr w:val="none" w:sz="0" w:space="0" w:color="auto" w:frame="1"/>
        </w:rPr>
        <w:t>eroche Industries Limted v Kenya Revenue Authority &amp; 5 Others</w:t>
      </w:r>
      <w:r w:rsidR="009C2FEF">
        <w:rPr>
          <w:rStyle w:val="FootnoteReference"/>
          <w:rFonts w:eastAsia="Calibri"/>
          <w:iCs/>
          <w:bdr w:val="none" w:sz="0" w:space="0" w:color="auto" w:frame="1"/>
        </w:rPr>
        <w:footnoteReference w:id="6"/>
      </w:r>
      <w:r w:rsidR="009C2FEF">
        <w:rPr>
          <w:rFonts w:eastAsia="Calibri"/>
          <w:iCs/>
          <w:bdr w:val="none" w:sz="0" w:space="0" w:color="auto" w:frame="1"/>
        </w:rPr>
        <w:t xml:space="preserve"> and </w:t>
      </w:r>
      <w:r w:rsidR="009C2FEF" w:rsidRPr="0046449D">
        <w:rPr>
          <w:rFonts w:eastAsia="Calibri"/>
          <w:i/>
          <w:iCs/>
          <w:bdr w:val="none" w:sz="0" w:space="0" w:color="auto" w:frame="1"/>
        </w:rPr>
        <w:t>Republic v Attorney General &amp; Another ex parte Waswa &amp; 2 Others</w:t>
      </w:r>
      <w:r w:rsidR="009C2FEF">
        <w:rPr>
          <w:rFonts w:eastAsia="Calibri"/>
          <w:iCs/>
          <w:bdr w:val="none" w:sz="0" w:space="0" w:color="auto" w:frame="1"/>
        </w:rPr>
        <w:t>.</w:t>
      </w:r>
      <w:r w:rsidR="009C2FEF">
        <w:rPr>
          <w:rStyle w:val="FootnoteReference"/>
          <w:rFonts w:eastAsia="Calibri"/>
          <w:iCs/>
          <w:bdr w:val="none" w:sz="0" w:space="0" w:color="auto" w:frame="1"/>
        </w:rPr>
        <w:footnoteReference w:id="7"/>
      </w:r>
      <w:r w:rsidR="009C2FEF">
        <w:rPr>
          <w:rFonts w:eastAsia="Calibri"/>
          <w:iCs/>
          <w:bdr w:val="none" w:sz="0" w:space="0" w:color="auto" w:frame="1"/>
        </w:rPr>
        <w:t xml:space="preserve"> In addition</w:t>
      </w:r>
      <w:r w:rsidR="0046449D">
        <w:rPr>
          <w:rFonts w:eastAsia="Calibri"/>
          <w:iCs/>
          <w:bdr w:val="none" w:sz="0" w:space="0" w:color="auto" w:frame="1"/>
        </w:rPr>
        <w:t xml:space="preserve">, counsel relied on </w:t>
      </w:r>
      <w:r w:rsidR="009C2FEF" w:rsidRPr="0046449D">
        <w:rPr>
          <w:rFonts w:eastAsia="Calibri"/>
          <w:i/>
          <w:iCs/>
          <w:bdr w:val="none" w:sz="0" w:space="0" w:color="auto" w:frame="1"/>
        </w:rPr>
        <w:t>Republic v Kenya Revenue Authority ex parte Shake Distributors Limited</w:t>
      </w:r>
      <w:r w:rsidR="009C2FEF">
        <w:rPr>
          <w:rStyle w:val="FootnoteReference"/>
          <w:rFonts w:eastAsia="Calibri"/>
          <w:iCs/>
          <w:bdr w:val="none" w:sz="0" w:space="0" w:color="auto" w:frame="1"/>
        </w:rPr>
        <w:footnoteReference w:id="8"/>
      </w:r>
      <w:r w:rsidR="00937FCD">
        <w:rPr>
          <w:rFonts w:eastAsia="Calibri"/>
          <w:iCs/>
          <w:bdr w:val="none" w:sz="0" w:space="0" w:color="auto" w:frame="1"/>
        </w:rPr>
        <w:t xml:space="preserve"> for the holding that the cornerstone of legitimate expectation is s promise made to a party by a public body that it will act or not act in a particular manner. In addition, counsel relied on </w:t>
      </w:r>
      <w:r w:rsidR="00937FCD" w:rsidRPr="0046449D">
        <w:rPr>
          <w:rFonts w:eastAsia="Calibri"/>
          <w:i/>
          <w:iCs/>
          <w:bdr w:val="none" w:sz="0" w:space="0" w:color="auto" w:frame="1"/>
        </w:rPr>
        <w:t>R (Bibi) v Newham London Borough Council</w:t>
      </w:r>
      <w:r w:rsidR="00937FCD">
        <w:rPr>
          <w:rStyle w:val="FootnoteReference"/>
          <w:rFonts w:eastAsia="Calibri"/>
          <w:iCs/>
          <w:bdr w:val="none" w:sz="0" w:space="0" w:color="auto" w:frame="1"/>
        </w:rPr>
        <w:footnoteReference w:id="9"/>
      </w:r>
      <w:r w:rsidR="00937FCD">
        <w:rPr>
          <w:rFonts w:eastAsia="Calibri"/>
          <w:iCs/>
          <w:bdr w:val="none" w:sz="0" w:space="0" w:color="auto" w:frame="1"/>
        </w:rPr>
        <w:t xml:space="preserve"> which identified three basic questions when it comes to the doctrine of legitimate expectation, which are, what has the public authority, whether in practice of by promise, committed itself</w:t>
      </w:r>
      <w:r w:rsidR="0046449D">
        <w:rPr>
          <w:rFonts w:eastAsia="Calibri"/>
          <w:iCs/>
          <w:bdr w:val="none" w:sz="0" w:space="0" w:color="auto" w:frame="1"/>
        </w:rPr>
        <w:t xml:space="preserve"> to</w:t>
      </w:r>
      <w:r w:rsidR="00937FCD">
        <w:rPr>
          <w:rFonts w:eastAsia="Calibri"/>
          <w:iCs/>
          <w:bdr w:val="none" w:sz="0" w:space="0" w:color="auto" w:frame="1"/>
        </w:rPr>
        <w:t xml:space="preserve">, whether the authority has acted or proposes to act unlawfully in </w:t>
      </w:r>
      <w:r w:rsidR="000404C4">
        <w:rPr>
          <w:rFonts w:eastAsia="Calibri"/>
          <w:iCs/>
          <w:bdr w:val="none" w:sz="0" w:space="0" w:color="auto" w:frame="1"/>
        </w:rPr>
        <w:t>relation</w:t>
      </w:r>
      <w:r w:rsidR="00937FCD">
        <w:rPr>
          <w:rFonts w:eastAsia="Calibri"/>
          <w:iCs/>
          <w:bdr w:val="none" w:sz="0" w:space="0" w:color="auto" w:frame="1"/>
        </w:rPr>
        <w:t xml:space="preserve"> to its commitment and what should the court do.</w:t>
      </w:r>
      <w:r w:rsidR="000404C4">
        <w:rPr>
          <w:rFonts w:eastAsia="Calibri"/>
          <w:iCs/>
          <w:bdr w:val="none" w:sz="0" w:space="0" w:color="auto" w:frame="1"/>
        </w:rPr>
        <w:t xml:space="preserve"> In addition, counsel placed reliance on </w:t>
      </w:r>
      <w:r w:rsidR="000404C4" w:rsidRPr="0046449D">
        <w:rPr>
          <w:rFonts w:eastAsia="Calibri"/>
          <w:i/>
          <w:iCs/>
          <w:bdr w:val="none" w:sz="0" w:space="0" w:color="auto" w:frame="1"/>
        </w:rPr>
        <w:t>Kalpana H. Rawal v Judicial Service Commission &amp; 4 Others</w:t>
      </w:r>
      <w:r w:rsidR="000404C4">
        <w:rPr>
          <w:rStyle w:val="FootnoteReference"/>
          <w:rFonts w:eastAsia="Calibri"/>
          <w:iCs/>
          <w:bdr w:val="none" w:sz="0" w:space="0" w:color="auto" w:frame="1"/>
        </w:rPr>
        <w:footnoteReference w:id="10"/>
      </w:r>
      <w:r w:rsidR="000404C4">
        <w:rPr>
          <w:rFonts w:eastAsia="Calibri"/>
          <w:iCs/>
          <w:bdr w:val="none" w:sz="0" w:space="0" w:color="auto" w:frame="1"/>
        </w:rPr>
        <w:t xml:space="preserve"> &amp; </w:t>
      </w:r>
      <w:r w:rsidR="0046449D">
        <w:rPr>
          <w:rFonts w:eastAsia="Calibri"/>
          <w:i/>
          <w:iCs/>
          <w:bdr w:val="none" w:sz="0" w:space="0" w:color="auto" w:frame="1"/>
        </w:rPr>
        <w:t xml:space="preserve">Communication </w:t>
      </w:r>
      <w:r w:rsidR="000404C4" w:rsidRPr="0046449D">
        <w:rPr>
          <w:rFonts w:eastAsia="Calibri"/>
          <w:i/>
          <w:iCs/>
          <w:bdr w:val="none" w:sz="0" w:space="0" w:color="auto" w:frame="1"/>
        </w:rPr>
        <w:t xml:space="preserve">Commission of Kenya &amp; 5 Others v Royal </w:t>
      </w:r>
      <w:r w:rsidR="0046449D" w:rsidRPr="0046449D">
        <w:rPr>
          <w:rFonts w:eastAsia="Calibri"/>
          <w:i/>
          <w:iCs/>
          <w:bdr w:val="none" w:sz="0" w:space="0" w:color="auto" w:frame="1"/>
        </w:rPr>
        <w:t>Media Services</w:t>
      </w:r>
      <w:r w:rsidR="000404C4" w:rsidRPr="0046449D">
        <w:rPr>
          <w:rFonts w:eastAsia="Calibri"/>
          <w:i/>
          <w:iCs/>
          <w:bdr w:val="none" w:sz="0" w:space="0" w:color="auto" w:frame="1"/>
        </w:rPr>
        <w:t xml:space="preserve"> Ltd &amp; 5 Others</w:t>
      </w:r>
      <w:r w:rsidR="0046449D">
        <w:rPr>
          <w:rFonts w:eastAsia="Calibri"/>
          <w:iCs/>
          <w:bdr w:val="none" w:sz="0" w:space="0" w:color="auto" w:frame="1"/>
        </w:rPr>
        <w:t>.</w:t>
      </w:r>
      <w:r w:rsidR="000404C4">
        <w:rPr>
          <w:rStyle w:val="FootnoteReference"/>
          <w:rFonts w:eastAsia="Calibri"/>
          <w:iCs/>
          <w:bdr w:val="none" w:sz="0" w:space="0" w:color="auto" w:frame="1"/>
        </w:rPr>
        <w:footnoteReference w:id="11"/>
      </w:r>
    </w:p>
    <w:p w:rsidR="005E4EF0" w:rsidRDefault="005E4EF0" w:rsidP="005E4EF0">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5E4EF0" w:rsidRDefault="005E4EF0" w:rsidP="005E4EF0">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r>
        <w:rPr>
          <w:rFonts w:eastAsia="Calibri"/>
          <w:b/>
          <w:iCs/>
          <w:bdr w:val="none" w:sz="0" w:space="0" w:color="auto" w:frame="1"/>
        </w:rPr>
        <w:t>D</w:t>
      </w:r>
      <w:r w:rsidRPr="002D773B">
        <w:rPr>
          <w:rFonts w:eastAsia="Calibri"/>
          <w:b/>
          <w:iCs/>
          <w:bdr w:val="none" w:sz="0" w:space="0" w:color="auto" w:frame="1"/>
        </w:rPr>
        <w:t>etermination</w:t>
      </w:r>
    </w:p>
    <w:p w:rsidR="004F410D" w:rsidRDefault="004F410D" w:rsidP="005E4EF0">
      <w:pPr>
        <w:pStyle w:val="NormalWeb"/>
        <w:shd w:val="clear" w:color="auto" w:fill="FFFFFF"/>
        <w:spacing w:before="0" w:beforeAutospacing="0" w:after="0" w:afterAutospacing="0" w:line="360" w:lineRule="auto"/>
        <w:jc w:val="both"/>
        <w:textAlignment w:val="baseline"/>
        <w:rPr>
          <w:rFonts w:eastAsia="Calibri"/>
          <w:b/>
          <w:iCs/>
          <w:bdr w:val="none" w:sz="0" w:space="0" w:color="auto" w:frame="1"/>
        </w:rPr>
      </w:pPr>
    </w:p>
    <w:p w:rsidR="005E4EF0" w:rsidRDefault="005E4EF0"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105019">
        <w:rPr>
          <w:rFonts w:eastAsia="Calibri"/>
          <w:iCs/>
          <w:bdr w:val="none" w:sz="0" w:space="0" w:color="auto" w:frame="1"/>
        </w:rPr>
        <w:t>I fi</w:t>
      </w:r>
      <w:r w:rsidR="00136C24">
        <w:rPr>
          <w:rFonts w:eastAsia="Calibri"/>
          <w:iCs/>
          <w:bdr w:val="none" w:sz="0" w:space="0" w:color="auto" w:frame="1"/>
        </w:rPr>
        <w:t xml:space="preserve">nd it appropriate to address a pertinent question that emerges from the facts of this case. The applicants approached the court claiming that they held a valid Business Permit for the year 2018 </w:t>
      </w:r>
      <w:r w:rsidR="003904FD">
        <w:rPr>
          <w:rFonts w:eastAsia="Calibri"/>
          <w:iCs/>
          <w:bdr w:val="none" w:sz="0" w:space="0" w:color="auto" w:frame="1"/>
        </w:rPr>
        <w:t>issue</w:t>
      </w:r>
      <w:r w:rsidR="00136C24" w:rsidRPr="00E1281D">
        <w:rPr>
          <w:rFonts w:eastAsia="Calibri"/>
          <w:iCs/>
          <w:bdr w:val="none" w:sz="0" w:space="0" w:color="auto" w:frame="1"/>
        </w:rPr>
        <w:t>d by the Respondent. The</w:t>
      </w:r>
      <w:r w:rsidR="00E1281D" w:rsidRPr="00E1281D">
        <w:rPr>
          <w:rFonts w:eastAsia="Calibri"/>
          <w:iCs/>
          <w:bdr w:val="none" w:sz="0" w:space="0" w:color="auto" w:frame="1"/>
        </w:rPr>
        <w:t xml:space="preserve"> said permit was </w:t>
      </w:r>
      <w:r w:rsidR="00136C24" w:rsidRPr="00E1281D">
        <w:rPr>
          <w:rFonts w:eastAsia="Calibri"/>
          <w:iCs/>
          <w:bdr w:val="none" w:sz="0" w:space="0" w:color="auto" w:frame="1"/>
        </w:rPr>
        <w:t>to expire on 31</w:t>
      </w:r>
      <w:r w:rsidR="00136C24" w:rsidRPr="00E1281D">
        <w:rPr>
          <w:rFonts w:eastAsia="Calibri"/>
          <w:iCs/>
          <w:bdr w:val="none" w:sz="0" w:space="0" w:color="auto" w:frame="1"/>
          <w:vertAlign w:val="superscript"/>
        </w:rPr>
        <w:t>st</w:t>
      </w:r>
      <w:r w:rsidR="00136C24" w:rsidRPr="00E1281D">
        <w:rPr>
          <w:rFonts w:eastAsia="Calibri"/>
          <w:iCs/>
          <w:bdr w:val="none" w:sz="0" w:space="0" w:color="auto" w:frame="1"/>
        </w:rPr>
        <w:t xml:space="preserve"> December 2018.  However, on 5</w:t>
      </w:r>
      <w:r w:rsidR="00136C24" w:rsidRPr="00E1281D">
        <w:rPr>
          <w:rFonts w:eastAsia="Calibri"/>
          <w:iCs/>
          <w:bdr w:val="none" w:sz="0" w:space="0" w:color="auto" w:frame="1"/>
          <w:vertAlign w:val="superscript"/>
        </w:rPr>
        <w:t>th</w:t>
      </w:r>
      <w:r w:rsidR="00136C24" w:rsidRPr="00E1281D">
        <w:rPr>
          <w:rFonts w:eastAsia="Calibri"/>
          <w:iCs/>
          <w:bdr w:val="none" w:sz="0" w:space="0" w:color="auto" w:frame="1"/>
        </w:rPr>
        <w:t xml:space="preserve"> November 2018, the Respondent serve</w:t>
      </w:r>
      <w:r w:rsidR="00E1281D" w:rsidRPr="00E1281D">
        <w:rPr>
          <w:rFonts w:eastAsia="Calibri"/>
          <w:iCs/>
          <w:bdr w:val="none" w:sz="0" w:space="0" w:color="auto" w:frame="1"/>
        </w:rPr>
        <w:t>d</w:t>
      </w:r>
      <w:r w:rsidR="00136C24" w:rsidRPr="00E1281D">
        <w:rPr>
          <w:rFonts w:eastAsia="Calibri"/>
          <w:iCs/>
          <w:bdr w:val="none" w:sz="0" w:space="0" w:color="auto" w:frame="1"/>
        </w:rPr>
        <w:t xml:space="preserve"> them with a Removal Notice requiring them to vacate the</w:t>
      </w:r>
      <w:r w:rsidR="00E1281D">
        <w:rPr>
          <w:rFonts w:eastAsia="Calibri"/>
          <w:iCs/>
          <w:bdr w:val="none" w:sz="0" w:space="0" w:color="auto" w:frame="1"/>
        </w:rPr>
        <w:t xml:space="preserve"> premises </w:t>
      </w:r>
      <w:r w:rsidR="00136C24" w:rsidRPr="00E1281D">
        <w:rPr>
          <w:rFonts w:eastAsia="Calibri"/>
          <w:iCs/>
          <w:bdr w:val="none" w:sz="0" w:space="0" w:color="auto" w:frame="1"/>
        </w:rPr>
        <w:t>within</w:t>
      </w:r>
      <w:r w:rsidR="00E1281D">
        <w:rPr>
          <w:rFonts w:eastAsia="Calibri"/>
          <w:iCs/>
          <w:bdr w:val="none" w:sz="0" w:space="0" w:color="auto" w:frame="1"/>
        </w:rPr>
        <w:t xml:space="preserve"> 7 days from the said date. The said Notice triggered these proceedings </w:t>
      </w:r>
      <w:r w:rsidR="00E1281D">
        <w:rPr>
          <w:rFonts w:eastAsia="Calibri"/>
          <w:iCs/>
          <w:bdr w:val="none" w:sz="0" w:space="0" w:color="auto" w:frame="1"/>
        </w:rPr>
        <w:lastRenderedPageBreak/>
        <w:t>in which they seek orders to have the notice declared illegal and invalid for violating their fundamental rights as particularized earlier.</w:t>
      </w:r>
    </w:p>
    <w:p w:rsidR="00E1281D" w:rsidRPr="00DB3B05" w:rsidRDefault="00DB3B05" w:rsidP="00DB3B05">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They also seek to quash the </w:t>
      </w:r>
      <w:r w:rsidRPr="00DB3B05">
        <w:rPr>
          <w:rFonts w:eastAsia="Calibri"/>
          <w:iCs/>
          <w:bdr w:val="none" w:sz="0" w:space="0" w:color="auto" w:frame="1"/>
        </w:rPr>
        <w:t>said Notice and Mandamus to compel the Re</w:t>
      </w:r>
      <w:r>
        <w:rPr>
          <w:rFonts w:eastAsia="Calibri"/>
          <w:iCs/>
          <w:bdr w:val="none" w:sz="0" w:space="0" w:color="auto" w:frame="1"/>
        </w:rPr>
        <w:t>spondents to honour</w:t>
      </w:r>
      <w:r w:rsidRPr="00DB3B05">
        <w:rPr>
          <w:rFonts w:eastAsia="Calibri"/>
          <w:iCs/>
          <w:bdr w:val="none" w:sz="0" w:space="0" w:color="auto" w:frame="1"/>
        </w:rPr>
        <w:t xml:space="preserve"> the terms of the Permit dated/</w:t>
      </w:r>
      <w:r w:rsidRPr="008A4F70">
        <w:rPr>
          <w:rFonts w:eastAsia="Calibri"/>
          <w:iCs/>
          <w:u w:val="single"/>
          <w:bdr w:val="none" w:sz="0" w:space="0" w:color="auto" w:frame="1"/>
        </w:rPr>
        <w:t xml:space="preserve">issued </w:t>
      </w:r>
      <w:r w:rsidR="00E1281D" w:rsidRPr="008A4F70">
        <w:rPr>
          <w:rFonts w:eastAsia="Calibri"/>
          <w:iCs/>
          <w:u w:val="single"/>
          <w:bdr w:val="none" w:sz="0" w:space="0" w:color="auto" w:frame="1"/>
        </w:rPr>
        <w:t>on 22</w:t>
      </w:r>
      <w:r w:rsidR="00E1281D" w:rsidRPr="008A4F70">
        <w:rPr>
          <w:rFonts w:eastAsia="Calibri"/>
          <w:iCs/>
          <w:u w:val="single"/>
          <w:bdr w:val="none" w:sz="0" w:space="0" w:color="auto" w:frame="1"/>
          <w:vertAlign w:val="superscript"/>
        </w:rPr>
        <w:t>nd</w:t>
      </w:r>
      <w:r w:rsidR="00E1281D" w:rsidRPr="008A4F70">
        <w:rPr>
          <w:rFonts w:eastAsia="Calibri"/>
          <w:iCs/>
          <w:u w:val="single"/>
          <w:bdr w:val="none" w:sz="0" w:space="0" w:color="auto" w:frame="1"/>
        </w:rPr>
        <w:t xml:space="preserve"> January 2018.</w:t>
      </w:r>
      <w:r>
        <w:rPr>
          <w:rFonts w:eastAsia="Calibri"/>
          <w:iCs/>
          <w:bdr w:val="none" w:sz="0" w:space="0" w:color="auto" w:frame="1"/>
        </w:rPr>
        <w:t xml:space="preserve"> The impugned Notice is dated 5</w:t>
      </w:r>
      <w:r w:rsidRPr="00DB3B05">
        <w:rPr>
          <w:rFonts w:eastAsia="Calibri"/>
          <w:iCs/>
          <w:bdr w:val="none" w:sz="0" w:space="0" w:color="auto" w:frame="1"/>
          <w:vertAlign w:val="superscript"/>
        </w:rPr>
        <w:t>th</w:t>
      </w:r>
      <w:r>
        <w:rPr>
          <w:rFonts w:eastAsia="Calibri"/>
          <w:iCs/>
          <w:bdr w:val="none" w:sz="0" w:space="0" w:color="auto" w:frame="1"/>
        </w:rPr>
        <w:t xml:space="preserve"> November 2018. The terms referred to above are in the Permit dated 22</w:t>
      </w:r>
      <w:r w:rsidRPr="00DB3B05">
        <w:rPr>
          <w:rFonts w:eastAsia="Calibri"/>
          <w:iCs/>
          <w:bdr w:val="none" w:sz="0" w:space="0" w:color="auto" w:frame="1"/>
          <w:vertAlign w:val="superscript"/>
        </w:rPr>
        <w:t>nd</w:t>
      </w:r>
      <w:r>
        <w:rPr>
          <w:rFonts w:eastAsia="Calibri"/>
          <w:iCs/>
          <w:bdr w:val="none" w:sz="0" w:space="0" w:color="auto" w:frame="1"/>
        </w:rPr>
        <w:t xml:space="preserve"> January 2018 which lapsed on 31</w:t>
      </w:r>
      <w:r w:rsidRPr="00DB3B05">
        <w:rPr>
          <w:rFonts w:eastAsia="Calibri"/>
          <w:iCs/>
          <w:bdr w:val="none" w:sz="0" w:space="0" w:color="auto" w:frame="1"/>
          <w:vertAlign w:val="superscript"/>
        </w:rPr>
        <w:t>st</w:t>
      </w:r>
      <w:r>
        <w:rPr>
          <w:rFonts w:eastAsia="Calibri"/>
          <w:iCs/>
          <w:bdr w:val="none" w:sz="0" w:space="0" w:color="auto" w:frame="1"/>
        </w:rPr>
        <w:t xml:space="preserve"> December 2018.</w:t>
      </w:r>
    </w:p>
    <w:p w:rsidR="00136C24" w:rsidRDefault="00136C24" w:rsidP="00136C24">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136C24" w:rsidRDefault="00136C24"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 In a further affidavit filed on 25</w:t>
      </w:r>
      <w:r w:rsidRPr="00136C24">
        <w:rPr>
          <w:rFonts w:eastAsia="Calibri"/>
          <w:iCs/>
          <w:bdr w:val="none" w:sz="0" w:space="0" w:color="auto" w:frame="1"/>
          <w:vertAlign w:val="superscript"/>
        </w:rPr>
        <w:t>th</w:t>
      </w:r>
      <w:r>
        <w:rPr>
          <w:rFonts w:eastAsia="Calibri"/>
          <w:iCs/>
          <w:bdr w:val="none" w:sz="0" w:space="0" w:color="auto" w:frame="1"/>
        </w:rPr>
        <w:t xml:space="preserve"> February 2019, the applicants annexed two Business Permits issued by the Respondent.  The first one bears Business ID 1051177. It shows that it was issued pursuant to a court decree granted to the group.  The second Business Permit also for the year 2029,</w:t>
      </w:r>
      <w:r w:rsidR="008A4F70">
        <w:rPr>
          <w:rFonts w:eastAsia="Calibri"/>
          <w:iCs/>
          <w:bdr w:val="none" w:sz="0" w:space="0" w:color="auto" w:frame="1"/>
        </w:rPr>
        <w:t xml:space="preserve"> bears Business ID 1430832. I</w:t>
      </w:r>
      <w:r>
        <w:rPr>
          <w:rFonts w:eastAsia="Calibri"/>
          <w:iCs/>
          <w:bdr w:val="none" w:sz="0" w:space="0" w:color="auto" w:frame="1"/>
        </w:rPr>
        <w:t>t is also issued for the year 2019 for the same premises and the same business.</w:t>
      </w:r>
    </w:p>
    <w:p w:rsidR="00136C24" w:rsidRDefault="00136C24" w:rsidP="00136C24">
      <w:pPr>
        <w:pStyle w:val="ListParagraph"/>
        <w:rPr>
          <w:iCs/>
          <w:bdr w:val="none" w:sz="0" w:space="0" w:color="auto" w:frame="1"/>
        </w:rPr>
      </w:pPr>
    </w:p>
    <w:p w:rsidR="00136C24" w:rsidRDefault="00624D3C"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Several</w:t>
      </w:r>
      <w:r w:rsidR="006B6287">
        <w:rPr>
          <w:rFonts w:eastAsia="Calibri"/>
          <w:iCs/>
          <w:bdr w:val="none" w:sz="0" w:space="0" w:color="auto" w:frame="1"/>
        </w:rPr>
        <w:t xml:space="preserve"> issues</w:t>
      </w:r>
      <w:r w:rsidR="000F0987">
        <w:rPr>
          <w:rFonts w:eastAsia="Calibri"/>
          <w:iCs/>
          <w:bdr w:val="none" w:sz="0" w:space="0" w:color="auto" w:frame="1"/>
        </w:rPr>
        <w:t xml:space="preserve"> are emerge</w:t>
      </w:r>
      <w:r w:rsidR="00775FE7">
        <w:rPr>
          <w:rFonts w:eastAsia="Calibri"/>
          <w:iCs/>
          <w:bdr w:val="none" w:sz="0" w:space="0" w:color="auto" w:frame="1"/>
        </w:rPr>
        <w:t xml:space="preserve"> from the above scenario. </w:t>
      </w:r>
      <w:r w:rsidR="00775FE7" w:rsidRPr="00775FE7">
        <w:rPr>
          <w:rFonts w:eastAsia="Calibri"/>
          <w:i/>
          <w:iCs/>
          <w:bdr w:val="none" w:sz="0" w:space="0" w:color="auto" w:frame="1"/>
        </w:rPr>
        <w:t>First,</w:t>
      </w:r>
      <w:r w:rsidR="00775FE7">
        <w:rPr>
          <w:rFonts w:eastAsia="Calibri"/>
          <w:iCs/>
          <w:bdr w:val="none" w:sz="0" w:space="0" w:color="auto" w:frame="1"/>
        </w:rPr>
        <w:t xml:space="preserve"> the applicants were being ev</w:t>
      </w:r>
      <w:r w:rsidR="00BB60B7">
        <w:rPr>
          <w:rFonts w:eastAsia="Calibri"/>
          <w:iCs/>
          <w:bdr w:val="none" w:sz="0" w:space="0" w:color="auto" w:frame="1"/>
        </w:rPr>
        <w:t>icted in 2018</w:t>
      </w:r>
      <w:r w:rsidR="00775FE7">
        <w:rPr>
          <w:rFonts w:eastAsia="Calibri"/>
          <w:iCs/>
          <w:bdr w:val="none" w:sz="0" w:space="0" w:color="auto" w:frame="1"/>
        </w:rPr>
        <w:t xml:space="preserve">. </w:t>
      </w:r>
      <w:r w:rsidR="00775FE7" w:rsidRPr="00775FE7">
        <w:rPr>
          <w:rFonts w:eastAsia="Calibri"/>
          <w:i/>
          <w:iCs/>
          <w:bdr w:val="none" w:sz="0" w:space="0" w:color="auto" w:frame="1"/>
        </w:rPr>
        <w:t>Second,</w:t>
      </w:r>
      <w:r w:rsidR="00BB60B7">
        <w:rPr>
          <w:rFonts w:eastAsia="Calibri"/>
          <w:iCs/>
          <w:bdr w:val="none" w:sz="0" w:space="0" w:color="auto" w:frame="1"/>
        </w:rPr>
        <w:t xml:space="preserve"> the 2019 Permits</w:t>
      </w:r>
      <w:r w:rsidR="00775FE7">
        <w:rPr>
          <w:rFonts w:eastAsia="Calibri"/>
          <w:iCs/>
          <w:bdr w:val="none" w:sz="0" w:space="0" w:color="auto" w:frame="1"/>
        </w:rPr>
        <w:t xml:space="preserve"> referred to above </w:t>
      </w:r>
      <w:r w:rsidR="00136C24">
        <w:rPr>
          <w:rFonts w:eastAsia="Calibri"/>
          <w:iCs/>
          <w:bdr w:val="none" w:sz="0" w:space="0" w:color="auto" w:frame="1"/>
        </w:rPr>
        <w:t xml:space="preserve">were issued </w:t>
      </w:r>
      <w:r w:rsidR="00775FE7">
        <w:rPr>
          <w:rFonts w:eastAsia="Calibri"/>
          <w:iCs/>
          <w:bdr w:val="none" w:sz="0" w:space="0" w:color="auto" w:frame="1"/>
        </w:rPr>
        <w:t>during the pendency of th</w:t>
      </w:r>
      <w:r w:rsidR="00136C24">
        <w:rPr>
          <w:rFonts w:eastAsia="Calibri"/>
          <w:iCs/>
          <w:bdr w:val="none" w:sz="0" w:space="0" w:color="auto" w:frame="1"/>
        </w:rPr>
        <w:t>is suit</w:t>
      </w:r>
      <w:r w:rsidR="00775FE7">
        <w:rPr>
          <w:rFonts w:eastAsia="Calibri"/>
          <w:iCs/>
          <w:bdr w:val="none" w:sz="0" w:space="0" w:color="auto" w:frame="1"/>
        </w:rPr>
        <w:t xml:space="preserve">. </w:t>
      </w:r>
      <w:r w:rsidR="00775FE7" w:rsidRPr="00775FE7">
        <w:rPr>
          <w:rFonts w:eastAsia="Calibri"/>
          <w:i/>
          <w:iCs/>
          <w:bdr w:val="none" w:sz="0" w:space="0" w:color="auto" w:frame="1"/>
        </w:rPr>
        <w:t>Th</w:t>
      </w:r>
      <w:r w:rsidR="00775FE7">
        <w:rPr>
          <w:rFonts w:eastAsia="Calibri"/>
          <w:i/>
          <w:iCs/>
          <w:bdr w:val="none" w:sz="0" w:space="0" w:color="auto" w:frame="1"/>
        </w:rPr>
        <w:t>ird</w:t>
      </w:r>
      <w:r w:rsidR="00775FE7" w:rsidRPr="00775FE7">
        <w:rPr>
          <w:rFonts w:eastAsia="Calibri"/>
          <w:i/>
          <w:iCs/>
          <w:bdr w:val="none" w:sz="0" w:space="0" w:color="auto" w:frame="1"/>
        </w:rPr>
        <w:t>,</w:t>
      </w:r>
      <w:r w:rsidR="00775FE7">
        <w:rPr>
          <w:rFonts w:eastAsia="Calibri"/>
          <w:iCs/>
          <w:bdr w:val="none" w:sz="0" w:space="0" w:color="auto" w:frame="1"/>
        </w:rPr>
        <w:t xml:space="preserve"> the threat for eviction existed in 2018</w:t>
      </w:r>
      <w:r w:rsidR="000F0C1C">
        <w:rPr>
          <w:rFonts w:eastAsia="Calibri"/>
          <w:iCs/>
          <w:bdr w:val="none" w:sz="0" w:space="0" w:color="auto" w:frame="1"/>
        </w:rPr>
        <w:t>, and, despite the said Notice, the Respondents issued them with 2019 Permits</w:t>
      </w:r>
      <w:r w:rsidR="00775FE7">
        <w:rPr>
          <w:rFonts w:eastAsia="Calibri"/>
          <w:iCs/>
          <w:bdr w:val="none" w:sz="0" w:space="0" w:color="auto" w:frame="1"/>
        </w:rPr>
        <w:t xml:space="preserve">. </w:t>
      </w:r>
      <w:r w:rsidR="00775FE7" w:rsidRPr="00B71A64">
        <w:rPr>
          <w:rFonts w:eastAsia="Calibri"/>
          <w:i/>
          <w:iCs/>
          <w:bdr w:val="none" w:sz="0" w:space="0" w:color="auto" w:frame="1"/>
        </w:rPr>
        <w:t>Fourth,</w:t>
      </w:r>
      <w:r w:rsidR="00775FE7">
        <w:rPr>
          <w:rFonts w:eastAsia="Calibri"/>
          <w:iCs/>
          <w:bdr w:val="none" w:sz="0" w:space="0" w:color="auto" w:frame="1"/>
        </w:rPr>
        <w:t xml:space="preserve"> the applicants now hold two valid permits for 2019 issued during the pendency of this suit</w:t>
      </w:r>
      <w:r>
        <w:rPr>
          <w:rFonts w:eastAsia="Calibri"/>
          <w:iCs/>
          <w:bdr w:val="none" w:sz="0" w:space="0" w:color="auto" w:frame="1"/>
        </w:rPr>
        <w:t xml:space="preserve">. </w:t>
      </w:r>
      <w:r w:rsidRPr="00624D3C">
        <w:rPr>
          <w:rFonts w:eastAsia="Calibri"/>
          <w:i/>
          <w:iCs/>
          <w:bdr w:val="none" w:sz="0" w:space="0" w:color="auto" w:frame="1"/>
        </w:rPr>
        <w:t>Sixth</w:t>
      </w:r>
      <w:r>
        <w:rPr>
          <w:rFonts w:eastAsia="Calibri"/>
          <w:iCs/>
          <w:bdr w:val="none" w:sz="0" w:space="0" w:color="auto" w:frame="1"/>
        </w:rPr>
        <w:t xml:space="preserve">, </w:t>
      </w:r>
      <w:r w:rsidR="00775FE7">
        <w:rPr>
          <w:rFonts w:eastAsia="Calibri"/>
          <w:iCs/>
          <w:bdr w:val="none" w:sz="0" w:space="0" w:color="auto" w:frame="1"/>
        </w:rPr>
        <w:t>there is nothing to show that the threat still persists especially after the   issuance of the 2019 permi</w:t>
      </w:r>
      <w:r>
        <w:rPr>
          <w:rFonts w:eastAsia="Calibri"/>
          <w:iCs/>
          <w:bdr w:val="none" w:sz="0" w:space="0" w:color="auto" w:frame="1"/>
        </w:rPr>
        <w:t>t or even during the pendency of this suit.</w:t>
      </w:r>
      <w:r w:rsidR="00BA2BE2">
        <w:rPr>
          <w:rFonts w:eastAsia="Calibri"/>
          <w:iCs/>
          <w:bdr w:val="none" w:sz="0" w:space="0" w:color="auto" w:frame="1"/>
        </w:rPr>
        <w:t xml:space="preserve"> </w:t>
      </w:r>
      <w:r w:rsidR="00BA2BE2" w:rsidRPr="00BA2BE2">
        <w:rPr>
          <w:rFonts w:eastAsia="Calibri"/>
          <w:i/>
          <w:iCs/>
          <w:bdr w:val="none" w:sz="0" w:space="0" w:color="auto" w:frame="1"/>
        </w:rPr>
        <w:t>Seventh,</w:t>
      </w:r>
      <w:r w:rsidR="00BA2BE2">
        <w:rPr>
          <w:rFonts w:eastAsia="Calibri"/>
          <w:iCs/>
          <w:bdr w:val="none" w:sz="0" w:space="0" w:color="auto" w:frame="1"/>
        </w:rPr>
        <w:t xml:space="preserve"> the prayers of </w:t>
      </w:r>
      <w:r w:rsidR="00BA2BE2">
        <w:rPr>
          <w:rFonts w:eastAsia="Calibri"/>
          <w:i/>
          <w:iCs/>
          <w:bdr w:val="none" w:sz="0" w:space="0" w:color="auto" w:frame="1"/>
        </w:rPr>
        <w:t>C</w:t>
      </w:r>
      <w:r w:rsidR="00BA2BE2" w:rsidRPr="00BA2BE2">
        <w:rPr>
          <w:rFonts w:eastAsia="Calibri"/>
          <w:i/>
          <w:iCs/>
          <w:bdr w:val="none" w:sz="0" w:space="0" w:color="auto" w:frame="1"/>
        </w:rPr>
        <w:t>ertiorari</w:t>
      </w:r>
      <w:r w:rsidR="00BA2BE2">
        <w:rPr>
          <w:rFonts w:eastAsia="Calibri"/>
          <w:iCs/>
          <w:bdr w:val="none" w:sz="0" w:space="0" w:color="auto" w:frame="1"/>
        </w:rPr>
        <w:t xml:space="preserve"> and </w:t>
      </w:r>
      <w:r w:rsidR="00BA2BE2">
        <w:rPr>
          <w:rFonts w:eastAsia="Calibri"/>
          <w:i/>
          <w:iCs/>
          <w:bdr w:val="none" w:sz="0" w:space="0" w:color="auto" w:frame="1"/>
        </w:rPr>
        <w:t>M</w:t>
      </w:r>
      <w:r w:rsidR="00BA2BE2" w:rsidRPr="00BA2BE2">
        <w:rPr>
          <w:rFonts w:eastAsia="Calibri"/>
          <w:i/>
          <w:iCs/>
          <w:bdr w:val="none" w:sz="0" w:space="0" w:color="auto" w:frame="1"/>
        </w:rPr>
        <w:t>andamus</w:t>
      </w:r>
      <w:r w:rsidR="00BA2BE2">
        <w:rPr>
          <w:rFonts w:eastAsia="Calibri"/>
          <w:iCs/>
          <w:bdr w:val="none" w:sz="0" w:space="0" w:color="auto" w:frame="1"/>
        </w:rPr>
        <w:t xml:space="preserve"> are directed at the said Notice, while the declaration sought is confined to the 2018 permit.</w:t>
      </w:r>
    </w:p>
    <w:p w:rsidR="00775FE7" w:rsidRDefault="00775FE7" w:rsidP="00775FE7">
      <w:pPr>
        <w:pStyle w:val="ListParagraph"/>
        <w:rPr>
          <w:iCs/>
          <w:bdr w:val="none" w:sz="0" w:space="0" w:color="auto" w:frame="1"/>
        </w:rPr>
      </w:pPr>
    </w:p>
    <w:p w:rsidR="00775FE7" w:rsidRPr="00BA2BE2" w:rsidRDefault="00775FE7" w:rsidP="00775FE7">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3F55E9">
        <w:t>Th</w:t>
      </w:r>
      <w:r>
        <w:t>e facts disclosed in this case bring</w:t>
      </w:r>
      <w:r w:rsidRPr="003F55E9">
        <w:t xml:space="preserve"> into sharp focus the law of mootness which inquires whether even</w:t>
      </w:r>
      <w:r>
        <w:t xml:space="preserve">ts subsequent to the filing of </w:t>
      </w:r>
      <w:r w:rsidRPr="003F55E9">
        <w:t xml:space="preserve">a suit have eliminated the controversy between the parties. </w:t>
      </w:r>
      <w:r>
        <w:t xml:space="preserve"> Interestingly, the applicants’ counsel did not address this pertinent issue at all despite annexing 2019 permits. There was no attempt to demonstrate that the threat still persists.  I find it appropriate to spare some ink and paper to address the doctrine</w:t>
      </w:r>
      <w:r w:rsidR="00C344AD">
        <w:t xml:space="preserve"> of</w:t>
      </w:r>
      <w:r>
        <w:t xml:space="preserve"> mootness since it is an important point of law which this court cannot ignore.</w:t>
      </w:r>
    </w:p>
    <w:p w:rsidR="00BA2BE2" w:rsidRDefault="00BA2BE2" w:rsidP="00BA2BE2">
      <w:pPr>
        <w:pStyle w:val="ListParagraph"/>
        <w:rPr>
          <w:iCs/>
          <w:bdr w:val="none" w:sz="0" w:space="0" w:color="auto" w:frame="1"/>
        </w:rPr>
      </w:pPr>
    </w:p>
    <w:p w:rsidR="00775FE7" w:rsidRPr="00AE0A7C" w:rsidRDefault="00775FE7" w:rsidP="00775FE7">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3F55E9">
        <w:lastRenderedPageBreak/>
        <w:t>Mootness issues can arise in cases in which the plaintiff challenges actions or policies which are temporary in nature, in which factual developments after the suit is filed resolve the harm alleged, and in which claims have been settled.</w:t>
      </w:r>
    </w:p>
    <w:p w:rsidR="00775FE7" w:rsidRPr="00AA6440" w:rsidRDefault="00775FE7" w:rsidP="00AE0A7C">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3F55E9">
        <w:t>Generally, a case is not moot so long as the plaintiff continues to have an injury for which the court can award relief, even if entitlement to the primary relief has been mooted and what remains is small.</w:t>
      </w:r>
      <w:r>
        <w:rPr>
          <w:rStyle w:val="FootnoteReference"/>
        </w:rPr>
        <w:footnoteReference w:id="12"/>
      </w:r>
      <w:r w:rsidRPr="003F55E9">
        <w:t xml:space="preserve"> Put differently, the presence of a “collateral” injury is an exception to mootness.</w:t>
      </w:r>
      <w:r>
        <w:rPr>
          <w:rStyle w:val="FootnoteReference"/>
        </w:rPr>
        <w:footnoteReference w:id="13"/>
      </w:r>
      <w:r w:rsidRPr="003F55E9">
        <w:t xml:space="preserve"> As a result, distinguishing claims for injunctive relief from claims for damages is important. Because damage claims seek compensation for past harm, they cannot become moot.</w:t>
      </w:r>
      <w:r>
        <w:rPr>
          <w:rStyle w:val="FootnoteReference"/>
        </w:rPr>
        <w:footnoteReference w:id="14"/>
      </w:r>
      <w:r w:rsidRPr="003F55E9">
        <w:t xml:space="preserve"> Short of paying plaintiff the damages sought, a defendant can do little to moot a damage claim. </w:t>
      </w:r>
    </w:p>
    <w:p w:rsidR="00AA6440" w:rsidRDefault="00AA6440" w:rsidP="00AA6440">
      <w:pPr>
        <w:pStyle w:val="ListParagraph"/>
        <w:rPr>
          <w:iCs/>
          <w:bdr w:val="none" w:sz="0" w:space="0" w:color="auto" w:frame="1"/>
        </w:rPr>
      </w:pPr>
    </w:p>
    <w:p w:rsidR="00775FE7" w:rsidRPr="005F68F8" w:rsidRDefault="00775FE7" w:rsidP="00AA644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3F55E9">
        <w:t xml:space="preserve">A matter is </w:t>
      </w:r>
      <w:r w:rsidRPr="00AA6440">
        <w:rPr>
          <w:b/>
          <w:bCs/>
        </w:rPr>
        <w:t>moot</w:t>
      </w:r>
      <w:r w:rsidRPr="003F55E9">
        <w:t xml:space="preserve"> if further legal proceedings with regard to it can have no effect, or events have placed it beyond the reach of the law. Thereby the matter has been deprived of practical significance or rendered purely academic.</w:t>
      </w:r>
      <w:r w:rsidRPr="00AA6440">
        <w:rPr>
          <w:rFonts w:eastAsia="Calibri"/>
          <w:iCs/>
          <w:bdr w:val="none" w:sz="0" w:space="0" w:color="auto" w:frame="1"/>
        </w:rPr>
        <w:t xml:space="preserve"> </w:t>
      </w:r>
      <w:r w:rsidRPr="005F68F8">
        <w:rPr>
          <w:b/>
          <w:bCs/>
          <w:u w:val="single"/>
        </w:rPr>
        <w:t>Mootness</w:t>
      </w:r>
      <w:r w:rsidRPr="005F68F8">
        <w:rPr>
          <w:u w:val="single"/>
        </w:rPr>
        <w:t xml:space="preserve"> arises when there is no longer an actual controversy between the parties to a court case, and any ruling by the court would have no actual, practical impact.</w:t>
      </w:r>
    </w:p>
    <w:p w:rsidR="005F68F8" w:rsidRDefault="005F68F8" w:rsidP="005F68F8">
      <w:pPr>
        <w:pStyle w:val="ListParagraph"/>
        <w:rPr>
          <w:iCs/>
          <w:bdr w:val="none" w:sz="0" w:space="0" w:color="auto" w:frame="1"/>
        </w:rPr>
      </w:pPr>
    </w:p>
    <w:p w:rsidR="00775FE7" w:rsidRDefault="00775FE7" w:rsidP="005F68F8">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5F68F8">
        <w:rPr>
          <w:shd w:val="clear" w:color="auto" w:fill="FFFFFF"/>
        </w:rPr>
        <w:t xml:space="preserve">It is trite that as a general principle, the rights and liabilities of parties to any judicial proceedings pending before court are determined in accordance with the law as it was at the time when the </w:t>
      </w:r>
      <w:r w:rsidRPr="005F68F8">
        <w:rPr>
          <w:shd w:val="clear" w:color="auto" w:fill="FFFFFF"/>
        </w:rPr>
        <w:lastRenderedPageBreak/>
        <w:t>suit was instituted and by applying the facts to the law and circumstances. Time and again, it has been expressed that a court should not act in vain.</w:t>
      </w:r>
      <w:r>
        <w:rPr>
          <w:rStyle w:val="FootnoteReference"/>
          <w:shd w:val="clear" w:color="auto" w:fill="FFFFFF"/>
        </w:rPr>
        <w:footnoteReference w:id="15"/>
      </w:r>
      <w:r w:rsidRPr="005F68F8">
        <w:rPr>
          <w:rFonts w:eastAsia="Calibri"/>
          <w:iCs/>
          <w:bdr w:val="none" w:sz="0" w:space="0" w:color="auto" w:frame="1"/>
        </w:rPr>
        <w:t xml:space="preserve"> </w:t>
      </w:r>
    </w:p>
    <w:p w:rsidR="00DB446E" w:rsidRDefault="00DB446E" w:rsidP="00DB446E">
      <w:pPr>
        <w:pStyle w:val="ListParagraph"/>
        <w:rPr>
          <w:iCs/>
          <w:bdr w:val="none" w:sz="0" w:space="0" w:color="auto" w:frame="1"/>
        </w:rPr>
      </w:pPr>
    </w:p>
    <w:p w:rsidR="00775FE7" w:rsidRPr="003A0F25" w:rsidRDefault="00775FE7" w:rsidP="00DB446E">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883F69">
        <w:t xml:space="preserve">No court of law will knowingly act in vain. The general attitude of courts of law is that they are loathe in making pronouncements on academic or hypothetical issues as it does not serve any useful purpose. A suit is academic where it is merely theoretical, makes empty sound and of no practical utilitarian value to the plaintiff </w:t>
      </w:r>
      <w:r>
        <w:t>even if judgment is given in his</w:t>
      </w:r>
      <w:r w:rsidRPr="00883F69">
        <w:t xml:space="preserve"> favour. A suit is academic if it is not related to practical situations of human nature and humanity.</w:t>
      </w:r>
      <w:r>
        <w:rPr>
          <w:rStyle w:val="FootnoteReference"/>
        </w:rPr>
        <w:footnoteReference w:id="16"/>
      </w:r>
    </w:p>
    <w:p w:rsidR="003A0F25" w:rsidRDefault="003A0F25" w:rsidP="003A0F25">
      <w:pPr>
        <w:pStyle w:val="ListParagraph"/>
        <w:rPr>
          <w:iCs/>
          <w:bdr w:val="none" w:sz="0" w:space="0" w:color="auto" w:frame="1"/>
        </w:rPr>
      </w:pPr>
    </w:p>
    <w:p w:rsidR="00775FE7" w:rsidRPr="00EC39ED" w:rsidRDefault="00775FE7" w:rsidP="003A0F25">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3A0F25">
        <w:rPr>
          <w:rFonts w:eastAsia="Calibri"/>
          <w:iCs/>
          <w:bdr w:val="none" w:sz="0" w:space="0" w:color="auto" w:frame="1"/>
        </w:rPr>
        <w:t xml:space="preserve"> </w:t>
      </w:r>
      <w:r w:rsidRPr="00883F69">
        <w:t xml:space="preserve">A case or issue is considered moot and academic when it </w:t>
      </w:r>
      <w:r w:rsidRPr="003A0F25">
        <w:rPr>
          <w:b/>
          <w:bCs/>
        </w:rPr>
        <w:t xml:space="preserve">ceases to present a justiciable controversy </w:t>
      </w:r>
      <w:r w:rsidRPr="00883F69">
        <w:t xml:space="preserve">by virtue of supervening events, so that an adjudication of the case or </w:t>
      </w:r>
      <w:r w:rsidRPr="003A0F25">
        <w:rPr>
          <w:b/>
          <w:bCs/>
        </w:rPr>
        <w:t>a declaration on the issue would be of no practical value or use</w:t>
      </w:r>
      <w:r w:rsidRPr="00883F69">
        <w:t xml:space="preserve">. In such instance, there is </w:t>
      </w:r>
      <w:r w:rsidRPr="003A0F25">
        <w:rPr>
          <w:b/>
          <w:bCs/>
        </w:rPr>
        <w:t>no actual substantial relief which a petitioner or applicant would be entitled to</w:t>
      </w:r>
      <w:r w:rsidRPr="00883F69">
        <w:t xml:space="preserve">, and which would be negated </w:t>
      </w:r>
      <w:r>
        <w:t>by the dismissal of the case</w:t>
      </w:r>
      <w:r w:rsidRPr="00883F69">
        <w:t>. Courts generally decline jurisdicti</w:t>
      </w:r>
      <w:r>
        <w:t>on over such cases or dismiss them on</w:t>
      </w:r>
      <w:r w:rsidRPr="00883F69">
        <w:t xml:space="preserve"> ground</w:t>
      </w:r>
      <w:r>
        <w:t>s</w:t>
      </w:r>
      <w:r w:rsidRPr="00883F69">
        <w:t xml:space="preserve"> of mootness, save when, among others, a compelling constitutional issue raised requires the formulation of controlling principles to guide the bench, the bar and the public; or when the case is capable of repetition yet evading judicial review.</w:t>
      </w:r>
      <w:r>
        <w:rPr>
          <w:rStyle w:val="FootnoteReference"/>
        </w:rPr>
        <w:footnoteReference w:id="17"/>
      </w:r>
      <w:r w:rsidRPr="00883F69">
        <w:rPr>
          <w:lang w:eastAsia="en-GB"/>
        </w:rPr>
        <w:t xml:space="preserve"> </w:t>
      </w:r>
    </w:p>
    <w:p w:rsidR="00EC39ED" w:rsidRDefault="00EC39ED" w:rsidP="00EC39ED">
      <w:pPr>
        <w:pStyle w:val="ListParagraph"/>
        <w:rPr>
          <w:iCs/>
          <w:bdr w:val="none" w:sz="0" w:space="0" w:color="auto" w:frame="1"/>
        </w:rPr>
      </w:pPr>
    </w:p>
    <w:p w:rsidR="00EC39ED" w:rsidRPr="00230077" w:rsidRDefault="00EC39ED" w:rsidP="00EC39ED">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EC39ED">
        <w:rPr>
          <w:color w:val="000000"/>
        </w:rPr>
        <w:t>The legal doctrine k</w:t>
      </w:r>
      <w:r w:rsidR="00230077">
        <w:rPr>
          <w:color w:val="000000"/>
        </w:rPr>
        <w:t>nown as 'mootness'</w:t>
      </w:r>
      <w:r w:rsidRPr="00EC39ED">
        <w:rPr>
          <w:color w:val="000000"/>
        </w:rPr>
        <w:t xml:space="preserve"> is well developed in co</w:t>
      </w:r>
      <w:r w:rsidR="00230077">
        <w:rPr>
          <w:color w:val="000000"/>
        </w:rPr>
        <w:t>nstitutional law j</w:t>
      </w:r>
      <w:r w:rsidRPr="00EC39ED">
        <w:rPr>
          <w:color w:val="000000"/>
        </w:rPr>
        <w:t>urisprudence. Accordingly, a case is a moot one if it</w:t>
      </w:r>
      <w:bookmarkStart w:id="1" w:name="top3"/>
      <w:bookmarkEnd w:id="1"/>
      <w:r w:rsidR="00230077">
        <w:rPr>
          <w:color w:val="000000"/>
        </w:rPr>
        <w:t>.</w:t>
      </w:r>
      <w:r w:rsidR="00230077">
        <w:rPr>
          <w:rStyle w:val="FootnoteReference"/>
          <w:color w:val="000000"/>
        </w:rPr>
        <w:footnoteReference w:id="18"/>
      </w:r>
    </w:p>
    <w:p w:rsidR="00230077" w:rsidRPr="00230077" w:rsidRDefault="00230077" w:rsidP="00230077">
      <w:pPr>
        <w:pStyle w:val="NormalWeb"/>
        <w:shd w:val="clear" w:color="auto" w:fill="FFFFFF"/>
        <w:spacing w:line="360" w:lineRule="auto"/>
        <w:ind w:left="720"/>
        <w:jc w:val="both"/>
        <w:rPr>
          <w:i/>
          <w:color w:val="000000"/>
          <w:sz w:val="22"/>
          <w:szCs w:val="22"/>
        </w:rPr>
      </w:pPr>
      <w:r>
        <w:rPr>
          <w:i/>
          <w:color w:val="000000"/>
          <w:sz w:val="22"/>
          <w:szCs w:val="22"/>
        </w:rPr>
        <w:t>“</w:t>
      </w:r>
      <w:r w:rsidRPr="00230077">
        <w:rPr>
          <w:i/>
          <w:color w:val="000000"/>
          <w:sz w:val="22"/>
          <w:szCs w:val="22"/>
        </w:rPr>
        <w:t>...seeks to get a judgment on a pretended controversy, when in reality there is none, or a decision in advance about a right before it has actually been asserted and contested, or a judgment upon some matter which, when rendered, for any reason, cannot have any practical effect upon a then existing controversy.</w:t>
      </w:r>
      <w:r>
        <w:rPr>
          <w:i/>
          <w:color w:val="000000"/>
          <w:sz w:val="22"/>
          <w:szCs w:val="22"/>
        </w:rPr>
        <w:t>”</w:t>
      </w:r>
    </w:p>
    <w:p w:rsidR="00EC39ED" w:rsidRPr="00DA4C67" w:rsidRDefault="00EC39ED" w:rsidP="00230077">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DA4C67">
        <w:rPr>
          <w:color w:val="000000"/>
        </w:rPr>
        <w:lastRenderedPageBreak/>
        <w:t>Furthermore, a case will be moot</w:t>
      </w:r>
      <w:bookmarkStart w:id="2" w:name="top4"/>
      <w:bookmarkEnd w:id="2"/>
      <w:r w:rsidR="00DA4C67">
        <w:rPr>
          <w:color w:val="000000"/>
        </w:rPr>
        <w:t>-</w:t>
      </w:r>
      <w:r w:rsidR="00DA4C67">
        <w:rPr>
          <w:rStyle w:val="FootnoteReference"/>
          <w:color w:val="000000"/>
        </w:rPr>
        <w:footnoteReference w:id="19"/>
      </w:r>
    </w:p>
    <w:p w:rsidR="00DA4C67" w:rsidRPr="00DA4C67" w:rsidRDefault="00DA4C67" w:rsidP="00DA4C67">
      <w:pPr>
        <w:pStyle w:val="NormalWeb"/>
        <w:shd w:val="clear" w:color="auto" w:fill="FFFFFF"/>
        <w:spacing w:line="360" w:lineRule="auto"/>
        <w:ind w:left="720"/>
        <w:jc w:val="both"/>
        <w:rPr>
          <w:i/>
          <w:color w:val="000000"/>
          <w:sz w:val="22"/>
          <w:szCs w:val="22"/>
        </w:rPr>
      </w:pPr>
      <w:r>
        <w:rPr>
          <w:i/>
          <w:color w:val="000000"/>
          <w:sz w:val="22"/>
          <w:szCs w:val="22"/>
        </w:rPr>
        <w:t>“…</w:t>
      </w:r>
      <w:r w:rsidRPr="00DA4C67">
        <w:rPr>
          <w:i/>
          <w:color w:val="000000"/>
          <w:sz w:val="22"/>
          <w:szCs w:val="22"/>
        </w:rPr>
        <w:t>if the parties are not adverse, if the controversy is hypothetical, or if the judgment of the court for some other reason cannot operate to grant any actual relief, and the court is without power to grant a decision.</w:t>
      </w:r>
      <w:r>
        <w:rPr>
          <w:i/>
          <w:color w:val="000000"/>
          <w:sz w:val="22"/>
          <w:szCs w:val="22"/>
        </w:rPr>
        <w:t>”</w:t>
      </w:r>
    </w:p>
    <w:p w:rsidR="00EC39ED" w:rsidRPr="00C5009E" w:rsidRDefault="00EC39ED" w:rsidP="00C5009E">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sidRPr="00DA4C67">
        <w:rPr>
          <w:color w:val="000000"/>
        </w:rPr>
        <w:t>Barron and Dienes put it succin</w:t>
      </w:r>
      <w:r w:rsidR="00992F22">
        <w:rPr>
          <w:color w:val="000000"/>
        </w:rPr>
        <w:t xml:space="preserve">ctly when they observe that </w:t>
      </w:r>
      <w:r w:rsidR="00852F4E">
        <w:rPr>
          <w:color w:val="000000"/>
        </w:rPr>
        <w:t xml:space="preserve"> "a</w:t>
      </w:r>
      <w:r w:rsidRPr="00DA4C67">
        <w:rPr>
          <w:color w:val="000000"/>
        </w:rPr>
        <w:t xml:space="preserve"> case or controversy requires present flesh and blood dispute that the courts can resolve</w:t>
      </w:r>
      <w:r w:rsidR="00C5009E">
        <w:rPr>
          <w:color w:val="000000"/>
        </w:rPr>
        <w:t>.</w:t>
      </w:r>
      <w:r w:rsidRPr="00DA4C67">
        <w:rPr>
          <w:color w:val="000000"/>
        </w:rPr>
        <w:t>"</w:t>
      </w:r>
      <w:bookmarkStart w:id="3" w:name="top5"/>
      <w:bookmarkEnd w:id="3"/>
      <w:r w:rsidR="00C5009E">
        <w:rPr>
          <w:rStyle w:val="FootnoteReference"/>
          <w:color w:val="000000"/>
        </w:rPr>
        <w:footnoteReference w:id="20"/>
      </w:r>
      <w:r w:rsidRPr="00DA4C67">
        <w:rPr>
          <w:color w:val="000000"/>
        </w:rPr>
        <w:t>Loots, a South</w:t>
      </w:r>
      <w:r w:rsidR="00C5009E">
        <w:rPr>
          <w:rFonts w:eastAsia="Calibri"/>
          <w:iCs/>
          <w:bdr w:val="none" w:sz="0" w:space="0" w:color="auto" w:frame="1"/>
        </w:rPr>
        <w:t xml:space="preserve"> </w:t>
      </w:r>
      <w:r w:rsidRPr="00C5009E">
        <w:rPr>
          <w:color w:val="000000"/>
        </w:rPr>
        <w:t>African constitutional commentator, endorses these sentiments and points out that a case</w:t>
      </w:r>
      <w:bookmarkStart w:id="4" w:name="top6"/>
      <w:bookmarkEnd w:id="4"/>
      <w:r w:rsidR="00C5009E">
        <w:rPr>
          <w:color w:val="000000"/>
        </w:rPr>
        <w:t>-</w:t>
      </w:r>
      <w:r w:rsidR="00C5009E">
        <w:rPr>
          <w:rStyle w:val="FootnoteReference"/>
          <w:color w:val="000000"/>
        </w:rPr>
        <w:footnoteReference w:id="21"/>
      </w:r>
    </w:p>
    <w:p w:rsidR="00C5009E" w:rsidRPr="00C5009E" w:rsidRDefault="00C5009E" w:rsidP="00C5009E">
      <w:pPr>
        <w:pStyle w:val="NormalWeb"/>
        <w:shd w:val="clear" w:color="auto" w:fill="FFFFFF"/>
        <w:spacing w:line="360" w:lineRule="auto"/>
        <w:ind w:left="720"/>
        <w:jc w:val="both"/>
        <w:rPr>
          <w:i/>
          <w:color w:val="000000"/>
          <w:sz w:val="22"/>
          <w:szCs w:val="22"/>
        </w:rPr>
      </w:pPr>
      <w:r w:rsidRPr="00C5009E">
        <w:rPr>
          <w:i/>
          <w:color w:val="000000"/>
          <w:sz w:val="22"/>
          <w:szCs w:val="22"/>
        </w:rPr>
        <w:t xml:space="preserve">“....is moot and therefore not justiciable if it no longer presents an existing or live controversy or the prejudice, </w:t>
      </w:r>
      <w:r w:rsidRPr="00C5009E">
        <w:rPr>
          <w:i/>
          <w:color w:val="000000"/>
          <w:sz w:val="22"/>
          <w:szCs w:val="22"/>
          <w:u w:val="single"/>
        </w:rPr>
        <w:t>or threat of prejudice, to the plaintiff no longer exists."</w:t>
      </w:r>
    </w:p>
    <w:p w:rsidR="00C5009E" w:rsidRPr="008C723F" w:rsidRDefault="008C723F" w:rsidP="00EC39ED">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However, a court</w:t>
      </w:r>
      <w:r w:rsidR="00C5009E" w:rsidRPr="008C723F">
        <w:rPr>
          <w:color w:val="000000"/>
          <w:shd w:val="clear" w:color="auto" w:fill="FFFFFF"/>
        </w:rPr>
        <w:t xml:space="preserve"> will decide a case despite the argument of mootness if to do so would be in the public interest.</w:t>
      </w:r>
      <w:bookmarkStart w:id="5" w:name="top19"/>
      <w:bookmarkEnd w:id="5"/>
      <w:r>
        <w:rPr>
          <w:rStyle w:val="FootnoteReference"/>
          <w:color w:val="000000"/>
          <w:shd w:val="clear" w:color="auto" w:fill="FFFFFF"/>
        </w:rPr>
        <w:footnoteReference w:id="22"/>
      </w:r>
    </w:p>
    <w:p w:rsidR="008C723F" w:rsidRPr="008C723F" w:rsidRDefault="008C723F" w:rsidP="008C723F">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B03FAB" w:rsidRPr="00B03FAB" w:rsidRDefault="003A0F25" w:rsidP="00B03FAB">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Cases are determined on the basis of facts presented before the court and the evidence. The applicants moved to court challenging a Removal Notice dated </w:t>
      </w:r>
      <w:r w:rsidR="00340909">
        <w:rPr>
          <w:rFonts w:eastAsia="Calibri"/>
          <w:iCs/>
          <w:bdr w:val="none" w:sz="0" w:space="0" w:color="auto" w:frame="1"/>
        </w:rPr>
        <w:t>5</w:t>
      </w:r>
      <w:r w:rsidR="00340909" w:rsidRPr="00340909">
        <w:rPr>
          <w:rFonts w:eastAsia="Calibri"/>
          <w:iCs/>
          <w:bdr w:val="none" w:sz="0" w:space="0" w:color="auto" w:frame="1"/>
          <w:vertAlign w:val="superscript"/>
        </w:rPr>
        <w:t>th</w:t>
      </w:r>
      <w:r w:rsidR="00340909">
        <w:rPr>
          <w:rFonts w:eastAsia="Calibri"/>
          <w:iCs/>
          <w:bdr w:val="none" w:sz="0" w:space="0" w:color="auto" w:frame="1"/>
        </w:rPr>
        <w:t xml:space="preserve"> </w:t>
      </w:r>
      <w:r w:rsidR="00B03FAB">
        <w:rPr>
          <w:rFonts w:eastAsia="Calibri"/>
          <w:iCs/>
          <w:bdr w:val="none" w:sz="0" w:space="0" w:color="auto" w:frame="1"/>
        </w:rPr>
        <w:t>November 2018. The crux of the argument then was that they held a Business Permit valid for the year 2018</w:t>
      </w:r>
      <w:r w:rsidR="00C42501">
        <w:rPr>
          <w:rFonts w:eastAsia="Calibri"/>
          <w:iCs/>
          <w:bdr w:val="none" w:sz="0" w:space="0" w:color="auto" w:frame="1"/>
        </w:rPr>
        <w:t xml:space="preserve">. They </w:t>
      </w:r>
      <w:r w:rsidR="00B03FAB">
        <w:rPr>
          <w:rFonts w:eastAsia="Calibri"/>
          <w:iCs/>
          <w:bdr w:val="none" w:sz="0" w:space="0" w:color="auto" w:frame="1"/>
        </w:rPr>
        <w:t>challeng</w:t>
      </w:r>
      <w:r w:rsidR="00C42501">
        <w:rPr>
          <w:rFonts w:eastAsia="Calibri"/>
          <w:iCs/>
          <w:bdr w:val="none" w:sz="0" w:space="0" w:color="auto" w:frame="1"/>
        </w:rPr>
        <w:t>ed</w:t>
      </w:r>
      <w:r w:rsidR="00B03FAB">
        <w:rPr>
          <w:rFonts w:eastAsia="Calibri"/>
          <w:iCs/>
          <w:bdr w:val="none" w:sz="0" w:space="0" w:color="auto" w:frame="1"/>
        </w:rPr>
        <w:t xml:space="preserve"> the manner in which the notice was issued.</w:t>
      </w:r>
      <w:r w:rsidR="00C42501">
        <w:rPr>
          <w:rFonts w:eastAsia="Calibri"/>
          <w:iCs/>
          <w:bdr w:val="none" w:sz="0" w:space="0" w:color="auto" w:frame="1"/>
        </w:rPr>
        <w:t xml:space="preserve"> However, d</w:t>
      </w:r>
      <w:r w:rsidR="00B03FAB">
        <w:rPr>
          <w:rFonts w:eastAsia="Calibri"/>
          <w:iCs/>
          <w:bdr w:val="none" w:sz="0" w:space="0" w:color="auto" w:frame="1"/>
        </w:rPr>
        <w:t>espite the Notice and the existence of this suit, th</w:t>
      </w:r>
      <w:r w:rsidR="00C42501">
        <w:rPr>
          <w:rFonts w:eastAsia="Calibri"/>
          <w:iCs/>
          <w:bdr w:val="none" w:sz="0" w:space="0" w:color="auto" w:frame="1"/>
        </w:rPr>
        <w:t>e Respondents issued them with two</w:t>
      </w:r>
      <w:r w:rsidR="00B82A22">
        <w:rPr>
          <w:rFonts w:eastAsia="Calibri"/>
          <w:iCs/>
          <w:bdr w:val="none" w:sz="0" w:space="0" w:color="auto" w:frame="1"/>
        </w:rPr>
        <w:t xml:space="preserve"> 2019 P</w:t>
      </w:r>
      <w:r w:rsidR="00B03FAB">
        <w:rPr>
          <w:rFonts w:eastAsia="Calibri"/>
          <w:iCs/>
          <w:bdr w:val="none" w:sz="0" w:space="0" w:color="auto" w:frame="1"/>
        </w:rPr>
        <w:t>ermit</w:t>
      </w:r>
      <w:r w:rsidR="00B82A22">
        <w:rPr>
          <w:rFonts w:eastAsia="Calibri"/>
          <w:iCs/>
          <w:bdr w:val="none" w:sz="0" w:space="0" w:color="auto" w:frame="1"/>
        </w:rPr>
        <w:t>s</w:t>
      </w:r>
      <w:r w:rsidR="00095BFC">
        <w:rPr>
          <w:rFonts w:eastAsia="Calibri"/>
          <w:iCs/>
          <w:bdr w:val="none" w:sz="0" w:space="0" w:color="auto" w:frame="1"/>
        </w:rPr>
        <w:t>. There is</w:t>
      </w:r>
      <w:r w:rsidR="00B03FAB">
        <w:rPr>
          <w:rFonts w:eastAsia="Calibri"/>
          <w:iCs/>
          <w:bdr w:val="none" w:sz="0" w:space="0" w:color="auto" w:frame="1"/>
        </w:rPr>
        <w:t xml:space="preserve"> no allegation that the threat of eviction was repeated or exists after the issuance of the 2019 license. There is no averment or evidence that the issuance of the 2019 license has not eliminated the threat. Save for the further affidavit which introduced the 2019 licenses, the pleadings were not amended to introduce avermen</w:t>
      </w:r>
      <w:r w:rsidR="003465F4">
        <w:rPr>
          <w:rFonts w:eastAsia="Calibri"/>
          <w:iCs/>
          <w:bdr w:val="none" w:sz="0" w:space="0" w:color="auto" w:frame="1"/>
        </w:rPr>
        <w:t>ts that the issuance of the 20</w:t>
      </w:r>
      <w:r w:rsidR="00B03FAB">
        <w:rPr>
          <w:rFonts w:eastAsia="Calibri"/>
          <w:iCs/>
          <w:bdr w:val="none" w:sz="0" w:space="0" w:color="auto" w:frame="1"/>
        </w:rPr>
        <w:t xml:space="preserve">19 permits did not eliminate the threat. Differently put, the applicants did not amend their pleadings to show that the said development did not render this suit </w:t>
      </w:r>
      <w:r w:rsidR="00B03FAB" w:rsidRPr="00B03FAB">
        <w:t xml:space="preserve">an academic </w:t>
      </w:r>
      <w:r w:rsidR="00095BFC" w:rsidRPr="00B03FAB">
        <w:t>or cosmetic</w:t>
      </w:r>
      <w:r w:rsidR="00B03FAB" w:rsidRPr="00B03FAB">
        <w:t xml:space="preserve"> exercise of no utilitarian value or benefit nor was it amended to show that the aim of the </w:t>
      </w:r>
      <w:r w:rsidR="00095BFC" w:rsidRPr="00B03FAB">
        <w:t xml:space="preserve">case </w:t>
      </w:r>
      <w:r w:rsidR="003465F4" w:rsidRPr="00B03FAB">
        <w:t xml:space="preserve">has </w:t>
      </w:r>
      <w:r w:rsidR="003465F4">
        <w:t>not</w:t>
      </w:r>
      <w:r w:rsidR="00095BFC">
        <w:t xml:space="preserve"> </w:t>
      </w:r>
      <w:r w:rsidR="00B03FAB" w:rsidRPr="00B03FAB">
        <w:t>been overtaken by events.</w:t>
      </w:r>
      <w:r w:rsidR="00B03FAB" w:rsidRPr="00B03FAB">
        <w:rPr>
          <w:rStyle w:val="FootnoteReference"/>
        </w:rPr>
        <w:footnoteReference w:id="23"/>
      </w:r>
    </w:p>
    <w:p w:rsidR="00B03FAB" w:rsidRPr="00B03FAB" w:rsidRDefault="00B03FAB" w:rsidP="00B03FAB">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716AD9" w:rsidRPr="00716AD9" w:rsidRDefault="003465F4" w:rsidP="00B03FAB">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t>Applying the above time te</w:t>
      </w:r>
      <w:r w:rsidR="00775FE7" w:rsidRPr="00740748">
        <w:t>sted and refined principle</w:t>
      </w:r>
      <w:r w:rsidR="00775FE7">
        <w:t>s of law</w:t>
      </w:r>
      <w:r w:rsidR="00095BFC">
        <w:t xml:space="preserve"> </w:t>
      </w:r>
      <w:r w:rsidR="00775FE7" w:rsidRPr="00740748">
        <w:t xml:space="preserve">to the instant case, it is obvious that there remains no unresolved justiciable controversy in the </w:t>
      </w:r>
      <w:r w:rsidR="00775FE7">
        <w:t>present Judicial Review Application</w:t>
      </w:r>
      <w:r w:rsidR="00775FE7" w:rsidRPr="00740748">
        <w:t>.</w:t>
      </w:r>
      <w:r w:rsidR="00775FE7">
        <w:t xml:space="preserve"> </w:t>
      </w:r>
      <w:r w:rsidR="00095BFC">
        <w:t>C</w:t>
      </w:r>
      <w:r w:rsidR="00546D69" w:rsidRPr="00740748">
        <w:t>ourts</w:t>
      </w:r>
      <w:r w:rsidR="00775FE7" w:rsidRPr="00740748">
        <w:t xml:space="preserve"> generally only have subject-matter jurisd</w:t>
      </w:r>
      <w:r w:rsidR="00546D69">
        <w:t xml:space="preserve">iction over live controversies. </w:t>
      </w:r>
      <w:r w:rsidR="00205796">
        <w:t>W</w:t>
      </w:r>
      <w:r w:rsidR="00775FE7" w:rsidRPr="00740748">
        <w:t>hen a case becomes moot during its pendency, the appropriate first step is a dismissal of the case</w:t>
      </w:r>
      <w:r w:rsidR="00775FE7">
        <w:t>.</w:t>
      </w:r>
      <w:r w:rsidR="00775FE7">
        <w:rPr>
          <w:rStyle w:val="FootnoteReference"/>
        </w:rPr>
        <w:footnoteReference w:id="24"/>
      </w:r>
      <w:r w:rsidR="00775FE7" w:rsidRPr="00740748">
        <w:t xml:space="preserve"> </w:t>
      </w:r>
      <w:r w:rsidR="00775FE7">
        <w:t xml:space="preserve"> On this ground alone</w:t>
      </w:r>
      <w:r w:rsidR="00716AD9">
        <w:t>, this case falls for dismissal. I find no need to address the case on merits.</w:t>
      </w:r>
    </w:p>
    <w:p w:rsidR="00546D69" w:rsidRPr="00205796" w:rsidRDefault="00546D69" w:rsidP="00205796">
      <w:pPr>
        <w:rPr>
          <w:iCs/>
          <w:bdr w:val="none" w:sz="0" w:space="0" w:color="auto" w:frame="1"/>
        </w:rPr>
      </w:pPr>
    </w:p>
    <w:p w:rsidR="005E4EF0" w:rsidRDefault="005E4EF0" w:rsidP="005E4EF0">
      <w:pPr>
        <w:pStyle w:val="NormalWeb"/>
        <w:numPr>
          <w:ilvl w:val="0"/>
          <w:numId w:val="1"/>
        </w:numPr>
        <w:shd w:val="clear" w:color="auto" w:fill="FFFFFF"/>
        <w:spacing w:before="0" w:beforeAutospacing="0" w:after="0" w:afterAutospacing="0" w:line="360" w:lineRule="auto"/>
        <w:ind w:left="0"/>
        <w:jc w:val="both"/>
        <w:textAlignment w:val="baseline"/>
        <w:rPr>
          <w:rFonts w:eastAsia="Calibri"/>
          <w:iCs/>
          <w:bdr w:val="none" w:sz="0" w:space="0" w:color="auto" w:frame="1"/>
        </w:rPr>
      </w:pPr>
      <w:r>
        <w:rPr>
          <w:rFonts w:eastAsia="Calibri"/>
          <w:iCs/>
          <w:bdr w:val="none" w:sz="0" w:space="0" w:color="auto" w:frame="1"/>
        </w:rPr>
        <w:t xml:space="preserve">The upshot is that I dismiss this Judicial Review application </w:t>
      </w:r>
      <w:r w:rsidR="00205796">
        <w:rPr>
          <w:rFonts w:eastAsia="Calibri"/>
          <w:iCs/>
          <w:bdr w:val="none" w:sz="0" w:space="0" w:color="auto" w:frame="1"/>
        </w:rPr>
        <w:t xml:space="preserve">with no orders as to </w:t>
      </w:r>
      <w:r>
        <w:rPr>
          <w:rFonts w:eastAsia="Calibri"/>
          <w:iCs/>
          <w:bdr w:val="none" w:sz="0" w:space="0" w:color="auto" w:frame="1"/>
        </w:rPr>
        <w:t>costs</w:t>
      </w:r>
      <w:r w:rsidR="00205796">
        <w:rPr>
          <w:rFonts w:eastAsia="Calibri"/>
          <w:iCs/>
          <w:bdr w:val="none" w:sz="0" w:space="0" w:color="auto" w:frame="1"/>
        </w:rPr>
        <w:t>.</w:t>
      </w:r>
    </w:p>
    <w:p w:rsidR="005E4EF0" w:rsidRPr="0009229A" w:rsidRDefault="005E4EF0" w:rsidP="005E4EF0">
      <w:pPr>
        <w:pStyle w:val="NormalWeb"/>
        <w:shd w:val="clear" w:color="auto" w:fill="FFFFFF"/>
        <w:spacing w:before="0" w:beforeAutospacing="0" w:after="0" w:afterAutospacing="0" w:line="360" w:lineRule="auto"/>
        <w:jc w:val="both"/>
        <w:textAlignment w:val="baseline"/>
        <w:rPr>
          <w:rFonts w:eastAsia="Calibri"/>
          <w:iCs/>
          <w:bdr w:val="none" w:sz="0" w:space="0" w:color="auto" w:frame="1"/>
        </w:rPr>
      </w:pPr>
    </w:p>
    <w:p w:rsidR="005E4EF0" w:rsidRPr="00604FEC" w:rsidRDefault="005E4EF0" w:rsidP="005E4EF0">
      <w:pPr>
        <w:spacing w:line="360" w:lineRule="auto"/>
        <w:jc w:val="both"/>
        <w:rPr>
          <w:rFonts w:ascii="Times New Roman" w:hAnsi="Times New Roman"/>
          <w:sz w:val="24"/>
          <w:szCs w:val="24"/>
        </w:rPr>
      </w:pPr>
      <w:r w:rsidRPr="00604FEC">
        <w:rPr>
          <w:rFonts w:ascii="Times New Roman" w:hAnsi="Times New Roman"/>
          <w:sz w:val="24"/>
          <w:szCs w:val="24"/>
        </w:rPr>
        <w:t xml:space="preserve">Orders accordingly. </w:t>
      </w:r>
    </w:p>
    <w:p w:rsidR="005E4EF0" w:rsidRDefault="00205796" w:rsidP="005E4EF0">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Signed, Delivered, Dated </w:t>
      </w:r>
      <w:r w:rsidR="005E4EF0" w:rsidRPr="00604FEC">
        <w:rPr>
          <w:rFonts w:ascii="Times New Roman" w:hAnsi="Times New Roman"/>
          <w:bCs/>
          <w:sz w:val="24"/>
          <w:szCs w:val="24"/>
        </w:rPr>
        <w:t>at Nairobi this</w:t>
      </w:r>
      <w:r w:rsidR="005E4EF0" w:rsidRPr="00604FEC">
        <w:rPr>
          <w:rFonts w:ascii="Times New Roman" w:hAnsi="Times New Roman"/>
          <w:b/>
          <w:bCs/>
          <w:sz w:val="24"/>
          <w:szCs w:val="24"/>
          <w:u w:val="single"/>
        </w:rPr>
        <w:t xml:space="preserve">   </w:t>
      </w:r>
      <w:r w:rsidR="005E4EF0">
        <w:rPr>
          <w:rFonts w:ascii="Times New Roman" w:hAnsi="Times New Roman"/>
          <w:b/>
          <w:bCs/>
          <w:sz w:val="24"/>
          <w:szCs w:val="24"/>
          <w:u w:val="single"/>
        </w:rPr>
        <w:t xml:space="preserve">  </w:t>
      </w:r>
      <w:r w:rsidR="008A2504">
        <w:rPr>
          <w:rFonts w:ascii="Times New Roman" w:hAnsi="Times New Roman"/>
          <w:b/>
          <w:bCs/>
          <w:sz w:val="24"/>
          <w:szCs w:val="24"/>
          <w:u w:val="single"/>
        </w:rPr>
        <w:t>25</w:t>
      </w:r>
      <w:r w:rsidR="008A2504" w:rsidRPr="008A2504">
        <w:rPr>
          <w:rFonts w:ascii="Times New Roman" w:hAnsi="Times New Roman"/>
          <w:b/>
          <w:bCs/>
          <w:sz w:val="24"/>
          <w:szCs w:val="24"/>
          <w:u w:val="single"/>
          <w:vertAlign w:val="superscript"/>
        </w:rPr>
        <w:t>th</w:t>
      </w:r>
      <w:r w:rsidR="008A2504">
        <w:rPr>
          <w:rFonts w:ascii="Times New Roman" w:hAnsi="Times New Roman"/>
          <w:b/>
          <w:bCs/>
          <w:sz w:val="24"/>
          <w:szCs w:val="24"/>
          <w:u w:val="single"/>
        </w:rPr>
        <w:t xml:space="preserve"> </w:t>
      </w:r>
      <w:r w:rsidR="005E4EF0" w:rsidRPr="00604FEC">
        <w:rPr>
          <w:rFonts w:ascii="Times New Roman" w:hAnsi="Times New Roman"/>
          <w:b/>
          <w:bCs/>
          <w:sz w:val="24"/>
          <w:szCs w:val="24"/>
          <w:u w:val="single"/>
        </w:rPr>
        <w:t xml:space="preserve">       </w:t>
      </w:r>
      <w:r w:rsidR="005E4EF0">
        <w:rPr>
          <w:rFonts w:ascii="Times New Roman" w:hAnsi="Times New Roman"/>
          <w:b/>
          <w:bCs/>
          <w:sz w:val="24"/>
          <w:szCs w:val="24"/>
          <w:u w:val="single"/>
        </w:rPr>
        <w:t xml:space="preserve"> </w:t>
      </w:r>
      <w:r w:rsidR="005E4EF0" w:rsidRPr="00604FEC">
        <w:rPr>
          <w:rFonts w:ascii="Times New Roman" w:hAnsi="Times New Roman"/>
          <w:b/>
          <w:bCs/>
          <w:sz w:val="24"/>
          <w:szCs w:val="24"/>
          <w:u w:val="single"/>
        </w:rPr>
        <w:t xml:space="preserve"> </w:t>
      </w:r>
      <w:r w:rsidR="005E4EF0" w:rsidRPr="00604FEC">
        <w:rPr>
          <w:rFonts w:ascii="Times New Roman" w:hAnsi="Times New Roman"/>
          <w:bCs/>
          <w:sz w:val="24"/>
          <w:szCs w:val="24"/>
        </w:rPr>
        <w:t>day of</w:t>
      </w:r>
      <w:r w:rsidR="005E4EF0">
        <w:rPr>
          <w:rFonts w:ascii="Times New Roman" w:hAnsi="Times New Roman"/>
          <w:b/>
          <w:bCs/>
          <w:sz w:val="24"/>
          <w:szCs w:val="24"/>
          <w:u w:val="single"/>
        </w:rPr>
        <w:t xml:space="preserve">   </w:t>
      </w:r>
      <w:r w:rsidR="008A2504">
        <w:rPr>
          <w:rFonts w:ascii="Times New Roman" w:hAnsi="Times New Roman"/>
          <w:b/>
          <w:bCs/>
          <w:sz w:val="24"/>
          <w:szCs w:val="24"/>
          <w:u w:val="single"/>
        </w:rPr>
        <w:t>November</w:t>
      </w:r>
      <w:r w:rsidR="005E4EF0" w:rsidRPr="00604FEC">
        <w:rPr>
          <w:rFonts w:ascii="Times New Roman" w:hAnsi="Times New Roman"/>
          <w:b/>
          <w:bCs/>
          <w:sz w:val="24"/>
          <w:szCs w:val="24"/>
          <w:u w:val="single"/>
        </w:rPr>
        <w:t xml:space="preserve">            </w:t>
      </w:r>
      <w:r w:rsidR="005E4EF0">
        <w:rPr>
          <w:rFonts w:ascii="Times New Roman" w:hAnsi="Times New Roman"/>
          <w:b/>
          <w:bCs/>
          <w:sz w:val="24"/>
          <w:szCs w:val="24"/>
          <w:u w:val="single"/>
        </w:rPr>
        <w:t xml:space="preserve">  </w:t>
      </w:r>
      <w:r w:rsidR="005E4EF0" w:rsidRPr="00604FEC">
        <w:rPr>
          <w:rFonts w:ascii="Times New Roman" w:hAnsi="Times New Roman"/>
          <w:b/>
          <w:bCs/>
          <w:sz w:val="24"/>
          <w:szCs w:val="24"/>
          <w:u w:val="single"/>
        </w:rPr>
        <w:t xml:space="preserve">                </w:t>
      </w:r>
      <w:r>
        <w:rPr>
          <w:rFonts w:ascii="Times New Roman" w:hAnsi="Times New Roman"/>
          <w:bCs/>
          <w:sz w:val="24"/>
          <w:szCs w:val="24"/>
        </w:rPr>
        <w:t>2019.</w:t>
      </w:r>
    </w:p>
    <w:p w:rsidR="005E4EF0" w:rsidRPr="00604FEC" w:rsidRDefault="005E4EF0" w:rsidP="005E4EF0">
      <w:pPr>
        <w:autoSpaceDE w:val="0"/>
        <w:autoSpaceDN w:val="0"/>
        <w:adjustRightInd w:val="0"/>
        <w:spacing w:after="0" w:line="360" w:lineRule="auto"/>
        <w:jc w:val="both"/>
        <w:rPr>
          <w:rFonts w:ascii="Times New Roman" w:hAnsi="Times New Roman"/>
          <w:bCs/>
          <w:sz w:val="24"/>
          <w:szCs w:val="24"/>
        </w:rPr>
      </w:pPr>
    </w:p>
    <w:p w:rsidR="005E4EF0" w:rsidRPr="00604FEC" w:rsidRDefault="005E4EF0" w:rsidP="005E4EF0">
      <w:pPr>
        <w:autoSpaceDE w:val="0"/>
        <w:autoSpaceDN w:val="0"/>
        <w:adjustRightInd w:val="0"/>
        <w:spacing w:after="0" w:line="360" w:lineRule="auto"/>
        <w:jc w:val="both"/>
        <w:rPr>
          <w:rFonts w:ascii="Times New Roman" w:hAnsi="Times New Roman"/>
          <w:b/>
          <w:bCs/>
          <w:sz w:val="24"/>
          <w:szCs w:val="24"/>
        </w:rPr>
      </w:pPr>
      <w:r w:rsidRPr="00604FEC">
        <w:rPr>
          <w:rFonts w:ascii="Times New Roman" w:hAnsi="Times New Roman"/>
          <w:b/>
          <w:bCs/>
          <w:sz w:val="24"/>
          <w:szCs w:val="24"/>
        </w:rPr>
        <w:t xml:space="preserve">                                            </w:t>
      </w:r>
      <w:r>
        <w:rPr>
          <w:rFonts w:ascii="Times New Roman" w:hAnsi="Times New Roman"/>
          <w:b/>
          <w:bCs/>
          <w:sz w:val="24"/>
          <w:szCs w:val="24"/>
        </w:rPr>
        <w:t xml:space="preserve">                </w:t>
      </w:r>
      <w:r w:rsidRPr="00604FEC">
        <w:rPr>
          <w:rFonts w:ascii="Times New Roman" w:hAnsi="Times New Roman"/>
          <w:b/>
          <w:bCs/>
          <w:sz w:val="24"/>
          <w:szCs w:val="24"/>
        </w:rPr>
        <w:t>John</w:t>
      </w:r>
      <w:r>
        <w:rPr>
          <w:rFonts w:ascii="Times New Roman" w:hAnsi="Times New Roman"/>
          <w:b/>
          <w:bCs/>
          <w:sz w:val="24"/>
          <w:szCs w:val="24"/>
        </w:rPr>
        <w:t xml:space="preserve"> M. </w:t>
      </w:r>
      <w:r w:rsidRPr="00604FEC">
        <w:rPr>
          <w:rFonts w:ascii="Times New Roman" w:hAnsi="Times New Roman"/>
          <w:b/>
          <w:bCs/>
          <w:sz w:val="24"/>
          <w:szCs w:val="24"/>
        </w:rPr>
        <w:t>Mativo</w:t>
      </w:r>
    </w:p>
    <w:p w:rsidR="005E4EF0" w:rsidRDefault="005E4EF0" w:rsidP="005E4EF0">
      <w:pPr>
        <w:spacing w:after="0"/>
        <w:jc w:val="center"/>
      </w:pPr>
      <w:r w:rsidRPr="00604FEC">
        <w:rPr>
          <w:rFonts w:ascii="Times New Roman" w:hAnsi="Times New Roman"/>
          <w:b/>
          <w:bCs/>
          <w:sz w:val="24"/>
          <w:szCs w:val="24"/>
        </w:rPr>
        <w:t>Judge</w:t>
      </w:r>
      <w:r>
        <w:rPr>
          <w:rFonts w:ascii="Times New Roman" w:hAnsi="Times New Roman"/>
          <w:b/>
          <w:bCs/>
          <w:sz w:val="24"/>
          <w:szCs w:val="24"/>
        </w:rPr>
        <w:t>.</w:t>
      </w:r>
    </w:p>
    <w:p w:rsidR="00437013" w:rsidRDefault="00437013"/>
    <w:sectPr w:rsidR="00437013" w:rsidSect="006331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49" w:rsidRDefault="000E3849" w:rsidP="005E4EF0">
      <w:pPr>
        <w:spacing w:after="0" w:line="240" w:lineRule="auto"/>
      </w:pPr>
      <w:r>
        <w:separator/>
      </w:r>
    </w:p>
  </w:endnote>
  <w:endnote w:type="continuationSeparator" w:id="0">
    <w:p w:rsidR="000E3849" w:rsidRDefault="000E3849" w:rsidP="005E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0C" w:rsidRDefault="00A30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0C" w:rsidRDefault="00A30F0C">
    <w:pPr>
      <w:pStyle w:val="Footer"/>
      <w:jc w:val="center"/>
    </w:pPr>
    <w:r>
      <w:fldChar w:fldCharType="begin"/>
    </w:r>
    <w:r>
      <w:instrText xml:space="preserve"> PAGE   \* MERGEFORMAT </w:instrText>
    </w:r>
    <w:r>
      <w:fldChar w:fldCharType="separate"/>
    </w:r>
    <w:r w:rsidR="00966D6A">
      <w:rPr>
        <w:noProof/>
      </w:rPr>
      <w:t>10</w:t>
    </w:r>
    <w:r>
      <w:fldChar w:fldCharType="end"/>
    </w:r>
  </w:p>
  <w:p w:rsidR="00A30F0C" w:rsidRDefault="00A30F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0C" w:rsidRDefault="00A30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49" w:rsidRDefault="000E3849" w:rsidP="005E4EF0">
      <w:pPr>
        <w:spacing w:after="0" w:line="240" w:lineRule="auto"/>
      </w:pPr>
      <w:r>
        <w:separator/>
      </w:r>
    </w:p>
  </w:footnote>
  <w:footnote w:type="continuationSeparator" w:id="0">
    <w:p w:rsidR="000E3849" w:rsidRDefault="000E3849" w:rsidP="005E4EF0">
      <w:pPr>
        <w:spacing w:after="0" w:line="240" w:lineRule="auto"/>
      </w:pPr>
      <w:r>
        <w:continuationSeparator/>
      </w:r>
    </w:p>
  </w:footnote>
  <w:footnote w:id="1">
    <w:p w:rsidR="00A30F0C" w:rsidRPr="00A30F0C" w:rsidRDefault="00A30F0C" w:rsidP="00A30F0C">
      <w:pPr>
        <w:pStyle w:val="FootnoteText"/>
        <w:jc w:val="both"/>
        <w:rPr>
          <w:sz w:val="16"/>
          <w:szCs w:val="16"/>
        </w:rPr>
      </w:pPr>
      <w:r w:rsidRPr="00A30F0C">
        <w:rPr>
          <w:rStyle w:val="FootnoteReference"/>
          <w:sz w:val="16"/>
          <w:szCs w:val="16"/>
        </w:rPr>
        <w:footnoteRef/>
      </w:r>
      <w:r w:rsidRPr="00A30F0C">
        <w:rPr>
          <w:sz w:val="16"/>
          <w:szCs w:val="16"/>
        </w:rPr>
        <w:t xml:space="preserve"> Act No. 4 of 2015.</w:t>
      </w:r>
    </w:p>
  </w:footnote>
  <w:footnote w:id="2">
    <w:p w:rsidR="00A30F0C" w:rsidRPr="009C0AAA" w:rsidRDefault="00A30F0C" w:rsidP="009C0AAA">
      <w:pPr>
        <w:pStyle w:val="FootnoteText"/>
        <w:jc w:val="both"/>
        <w:rPr>
          <w:sz w:val="16"/>
          <w:szCs w:val="16"/>
        </w:rPr>
      </w:pPr>
      <w:r w:rsidRPr="009C0AAA">
        <w:rPr>
          <w:rStyle w:val="FootnoteReference"/>
          <w:sz w:val="16"/>
          <w:szCs w:val="16"/>
        </w:rPr>
        <w:footnoteRef/>
      </w:r>
      <w:r w:rsidRPr="009C0AAA">
        <w:rPr>
          <w:sz w:val="16"/>
          <w:szCs w:val="16"/>
        </w:rPr>
        <w:t xml:space="preserve"> Petition No. 352 of 2012.</w:t>
      </w:r>
    </w:p>
  </w:footnote>
  <w:footnote w:id="3">
    <w:p w:rsidR="00A30F0C" w:rsidRPr="009C0AAA" w:rsidRDefault="00A30F0C" w:rsidP="009C0AAA">
      <w:pPr>
        <w:pStyle w:val="FootnoteText"/>
        <w:jc w:val="both"/>
        <w:rPr>
          <w:sz w:val="16"/>
          <w:szCs w:val="16"/>
        </w:rPr>
      </w:pPr>
      <w:r w:rsidRPr="009C0AAA">
        <w:rPr>
          <w:rStyle w:val="FootnoteReference"/>
          <w:sz w:val="16"/>
          <w:szCs w:val="16"/>
        </w:rPr>
        <w:footnoteRef/>
      </w:r>
      <w:r w:rsidRPr="009C0AAA">
        <w:rPr>
          <w:sz w:val="16"/>
          <w:szCs w:val="16"/>
        </w:rPr>
        <w:t xml:space="preserve"> {2015} e KLR.</w:t>
      </w:r>
    </w:p>
  </w:footnote>
  <w:footnote w:id="4">
    <w:p w:rsidR="00A30F0C" w:rsidRPr="0099476C" w:rsidRDefault="00A30F0C" w:rsidP="0099476C">
      <w:pPr>
        <w:pStyle w:val="FootnoteText"/>
        <w:jc w:val="both"/>
        <w:rPr>
          <w:sz w:val="16"/>
          <w:szCs w:val="16"/>
        </w:rPr>
      </w:pPr>
      <w:r w:rsidRPr="0099476C">
        <w:rPr>
          <w:rStyle w:val="FootnoteReference"/>
          <w:sz w:val="16"/>
          <w:szCs w:val="16"/>
        </w:rPr>
        <w:footnoteRef/>
      </w:r>
      <w:r w:rsidRPr="0099476C">
        <w:rPr>
          <w:sz w:val="16"/>
          <w:szCs w:val="16"/>
        </w:rPr>
        <w:t xml:space="preserve"> {2016} e KLR.</w:t>
      </w:r>
    </w:p>
  </w:footnote>
  <w:footnote w:id="5">
    <w:p w:rsidR="00A30F0C" w:rsidRPr="009C2FEF" w:rsidRDefault="00A30F0C" w:rsidP="009C2FEF">
      <w:pPr>
        <w:pStyle w:val="FootnoteText"/>
        <w:jc w:val="both"/>
        <w:rPr>
          <w:sz w:val="16"/>
          <w:szCs w:val="16"/>
        </w:rPr>
      </w:pPr>
      <w:r w:rsidRPr="009C2FEF">
        <w:rPr>
          <w:rStyle w:val="FootnoteReference"/>
          <w:sz w:val="16"/>
          <w:szCs w:val="16"/>
        </w:rPr>
        <w:footnoteRef/>
      </w:r>
      <w:r w:rsidRPr="009C2FEF">
        <w:rPr>
          <w:sz w:val="16"/>
          <w:szCs w:val="16"/>
        </w:rPr>
        <w:t xml:space="preserve"> {2008} 2 EA 300.</w:t>
      </w:r>
    </w:p>
  </w:footnote>
  <w:footnote w:id="6">
    <w:p w:rsidR="00A30F0C" w:rsidRPr="009C2FEF" w:rsidRDefault="00A30F0C" w:rsidP="009C2FEF">
      <w:pPr>
        <w:pStyle w:val="FootnoteText"/>
        <w:jc w:val="both"/>
        <w:rPr>
          <w:sz w:val="16"/>
          <w:szCs w:val="16"/>
        </w:rPr>
      </w:pPr>
      <w:r w:rsidRPr="009C2FEF">
        <w:rPr>
          <w:rStyle w:val="FootnoteReference"/>
          <w:sz w:val="16"/>
          <w:szCs w:val="16"/>
        </w:rPr>
        <w:footnoteRef/>
      </w:r>
      <w:r w:rsidRPr="009C2FEF">
        <w:rPr>
          <w:sz w:val="16"/>
          <w:szCs w:val="16"/>
        </w:rPr>
        <w:t xml:space="preserve"> {2007} e KLR.</w:t>
      </w:r>
    </w:p>
  </w:footnote>
  <w:footnote w:id="7">
    <w:p w:rsidR="00A30F0C" w:rsidRPr="009C2FEF" w:rsidRDefault="00A30F0C" w:rsidP="009C2FEF">
      <w:pPr>
        <w:pStyle w:val="FootnoteText"/>
        <w:jc w:val="both"/>
        <w:rPr>
          <w:sz w:val="16"/>
          <w:szCs w:val="16"/>
        </w:rPr>
      </w:pPr>
      <w:r w:rsidRPr="009C2FEF">
        <w:rPr>
          <w:rStyle w:val="FootnoteReference"/>
          <w:sz w:val="16"/>
          <w:szCs w:val="16"/>
        </w:rPr>
        <w:footnoteRef/>
      </w:r>
      <w:r w:rsidRPr="009C2FEF">
        <w:rPr>
          <w:sz w:val="16"/>
          <w:szCs w:val="16"/>
        </w:rPr>
        <w:t xml:space="preserve"> {2005} 1</w:t>
      </w:r>
      <w:r>
        <w:rPr>
          <w:sz w:val="16"/>
          <w:szCs w:val="16"/>
        </w:rPr>
        <w:t xml:space="preserve"> </w:t>
      </w:r>
      <w:r w:rsidRPr="009C2FEF">
        <w:rPr>
          <w:sz w:val="16"/>
          <w:szCs w:val="16"/>
        </w:rPr>
        <w:t>KLR 280.</w:t>
      </w:r>
    </w:p>
  </w:footnote>
  <w:footnote w:id="8">
    <w:p w:rsidR="00A30F0C" w:rsidRPr="009C2FEF" w:rsidRDefault="00A30F0C" w:rsidP="009C2FEF">
      <w:pPr>
        <w:pStyle w:val="FootnoteText"/>
        <w:jc w:val="both"/>
        <w:rPr>
          <w:sz w:val="16"/>
          <w:szCs w:val="16"/>
        </w:rPr>
      </w:pPr>
      <w:r w:rsidRPr="009C2FEF">
        <w:rPr>
          <w:rStyle w:val="FootnoteReference"/>
          <w:sz w:val="16"/>
          <w:szCs w:val="16"/>
        </w:rPr>
        <w:footnoteRef/>
      </w:r>
      <w:r w:rsidRPr="009C2FEF">
        <w:rPr>
          <w:sz w:val="16"/>
          <w:szCs w:val="16"/>
        </w:rPr>
        <w:t xml:space="preserve"> HCMISC Application No. 359 of 2012.</w:t>
      </w:r>
    </w:p>
  </w:footnote>
  <w:footnote w:id="9">
    <w:p w:rsidR="00A30F0C" w:rsidRPr="00937FCD" w:rsidRDefault="00A30F0C" w:rsidP="00937FCD">
      <w:pPr>
        <w:pStyle w:val="FootnoteText"/>
        <w:jc w:val="both"/>
        <w:rPr>
          <w:sz w:val="16"/>
          <w:szCs w:val="16"/>
        </w:rPr>
      </w:pPr>
      <w:r w:rsidRPr="00937FCD">
        <w:rPr>
          <w:rStyle w:val="FootnoteReference"/>
          <w:sz w:val="16"/>
          <w:szCs w:val="16"/>
        </w:rPr>
        <w:footnoteRef/>
      </w:r>
      <w:r w:rsidRPr="00937FCD">
        <w:rPr>
          <w:sz w:val="16"/>
          <w:szCs w:val="16"/>
        </w:rPr>
        <w:t xml:space="preserve"> {2002} 1 WLR 237.</w:t>
      </w:r>
    </w:p>
  </w:footnote>
  <w:footnote w:id="10">
    <w:p w:rsidR="00A30F0C" w:rsidRPr="000404C4" w:rsidRDefault="00A30F0C" w:rsidP="000404C4">
      <w:pPr>
        <w:pStyle w:val="FootnoteText"/>
        <w:jc w:val="both"/>
        <w:rPr>
          <w:sz w:val="16"/>
          <w:szCs w:val="16"/>
        </w:rPr>
      </w:pPr>
      <w:r w:rsidRPr="000404C4">
        <w:rPr>
          <w:rStyle w:val="FootnoteReference"/>
          <w:sz w:val="16"/>
          <w:szCs w:val="16"/>
        </w:rPr>
        <w:footnoteRef/>
      </w:r>
      <w:r w:rsidRPr="000404C4">
        <w:rPr>
          <w:sz w:val="16"/>
          <w:szCs w:val="16"/>
        </w:rPr>
        <w:t xml:space="preserve"> {2015}</w:t>
      </w:r>
      <w:r>
        <w:rPr>
          <w:sz w:val="16"/>
          <w:szCs w:val="16"/>
        </w:rPr>
        <w:t xml:space="preserve"> </w:t>
      </w:r>
      <w:r w:rsidRPr="000404C4">
        <w:rPr>
          <w:sz w:val="16"/>
          <w:szCs w:val="16"/>
        </w:rPr>
        <w:t>e KLR.</w:t>
      </w:r>
    </w:p>
  </w:footnote>
  <w:footnote w:id="11">
    <w:p w:rsidR="00A30F0C" w:rsidRPr="000404C4" w:rsidRDefault="00A30F0C" w:rsidP="000404C4">
      <w:pPr>
        <w:pStyle w:val="FootnoteText"/>
        <w:jc w:val="both"/>
        <w:rPr>
          <w:sz w:val="16"/>
          <w:szCs w:val="16"/>
        </w:rPr>
      </w:pPr>
      <w:r w:rsidRPr="000404C4">
        <w:rPr>
          <w:rStyle w:val="FootnoteReference"/>
          <w:sz w:val="16"/>
          <w:szCs w:val="16"/>
        </w:rPr>
        <w:footnoteRef/>
      </w:r>
      <w:r w:rsidRPr="000404C4">
        <w:rPr>
          <w:sz w:val="16"/>
          <w:szCs w:val="16"/>
        </w:rPr>
        <w:t xml:space="preserve"> {2014} e KLR.</w:t>
      </w:r>
    </w:p>
  </w:footnote>
  <w:footnote w:id="12">
    <w:p w:rsidR="00A30F0C" w:rsidRPr="00AA6440" w:rsidRDefault="00A30F0C" w:rsidP="00775FE7">
      <w:pPr>
        <w:pStyle w:val="FootnoteText"/>
        <w:jc w:val="both"/>
        <w:rPr>
          <w:sz w:val="16"/>
          <w:szCs w:val="16"/>
          <w:lang w:val="en-US"/>
        </w:rPr>
      </w:pPr>
      <w:r w:rsidRPr="00AA6440">
        <w:rPr>
          <w:rStyle w:val="FootnoteReference"/>
          <w:sz w:val="16"/>
          <w:szCs w:val="16"/>
        </w:rPr>
        <w:footnoteRef/>
      </w:r>
      <w:r w:rsidRPr="00AA6440">
        <w:rPr>
          <w:sz w:val="16"/>
          <w:szCs w:val="16"/>
        </w:rPr>
        <w:t xml:space="preserve"> In </w:t>
      </w:r>
      <w:hyperlink r:id="rId1" w:history="1">
        <w:r w:rsidRPr="00AA6440">
          <w:rPr>
            <w:rStyle w:val="Emphasis"/>
            <w:sz w:val="16"/>
            <w:szCs w:val="16"/>
          </w:rPr>
          <w:t>Chafin vs. Chafin</w:t>
        </w:r>
      </w:hyperlink>
      <w:r w:rsidRPr="00AA6440">
        <w:rPr>
          <w:sz w:val="16"/>
          <w:szCs w:val="16"/>
        </w:rPr>
        <w:t xml:space="preserve">, 133 S. Ct. 1017 (2013), the Supreme Court discussed mootness at length in a complex child abduction case and held that the dispute between the parents was not moot because issues regarding the custody of the child remained unresolved. The Court noted that the prospects of success of the suit were irrelevant to the mootness question, and uncertainty about the effectiveness and enforceability of any future order did not moot the case. </w:t>
      </w:r>
      <w:r w:rsidRPr="00AA6440">
        <w:rPr>
          <w:rStyle w:val="Emphasis"/>
          <w:sz w:val="16"/>
          <w:szCs w:val="16"/>
        </w:rPr>
        <w:t>Chafin</w:t>
      </w:r>
      <w:r w:rsidRPr="00AA6440">
        <w:rPr>
          <w:sz w:val="16"/>
          <w:szCs w:val="16"/>
        </w:rPr>
        <w:t xml:space="preserve">, 133 S. Ct. at 1024-26. A case is moot, however, when the court cannot give any “effectual” relief to the party seeking it. </w:t>
      </w:r>
      <w:r w:rsidRPr="00AA6440">
        <w:rPr>
          <w:rStyle w:val="Emphasis"/>
          <w:sz w:val="16"/>
          <w:szCs w:val="16"/>
        </w:rPr>
        <w:t xml:space="preserve">See </w:t>
      </w:r>
      <w:hyperlink r:id="rId2" w:history="1">
        <w:r w:rsidRPr="00AA6440">
          <w:rPr>
            <w:rStyle w:val="Hyperlink"/>
            <w:i/>
            <w:iCs/>
            <w:color w:val="auto"/>
            <w:sz w:val="16"/>
            <w:szCs w:val="16"/>
            <w:u w:val="none"/>
          </w:rPr>
          <w:t>Knox v. Service Employees International Union, Local 1000</w:t>
        </w:r>
      </w:hyperlink>
      <w:r w:rsidRPr="00AA6440">
        <w:rPr>
          <w:sz w:val="16"/>
          <w:szCs w:val="16"/>
        </w:rPr>
        <w:t xml:space="preserve">, 132 S. Ct. 2277, 2287 (2012); </w:t>
      </w:r>
      <w:hyperlink r:id="rId3" w:history="1">
        <w:r w:rsidRPr="00AA6440">
          <w:rPr>
            <w:rStyle w:val="Emphasis"/>
            <w:sz w:val="16"/>
            <w:szCs w:val="16"/>
          </w:rPr>
          <w:t>Church of Scientology of California vs. United States</w:t>
        </w:r>
      </w:hyperlink>
      <w:r w:rsidRPr="00AA6440">
        <w:rPr>
          <w:sz w:val="16"/>
          <w:szCs w:val="16"/>
        </w:rPr>
        <w:t xml:space="preserve">, </w:t>
      </w:r>
      <w:hyperlink r:id="rId4" w:tooltip="Link to U.S. Supreme Court added by Jureeka.org" w:history="1">
        <w:r w:rsidRPr="00AA6440">
          <w:rPr>
            <w:rStyle w:val="Hyperlink"/>
            <w:color w:val="auto"/>
            <w:sz w:val="16"/>
            <w:szCs w:val="16"/>
            <w:u w:val="none"/>
          </w:rPr>
          <w:t>506 U.S. 9</w:t>
        </w:r>
      </w:hyperlink>
      <w:r w:rsidRPr="00AA6440">
        <w:rPr>
          <w:sz w:val="16"/>
          <w:szCs w:val="16"/>
        </w:rPr>
        <w:t xml:space="preserve">, 12 (1992); </w:t>
      </w:r>
      <w:hyperlink r:id="rId5" w:history="1">
        <w:r w:rsidRPr="00AA6440">
          <w:rPr>
            <w:rStyle w:val="Emphasis"/>
            <w:sz w:val="16"/>
            <w:szCs w:val="16"/>
          </w:rPr>
          <w:t>Firefighter’s Local 1784 vs. Stotts</w:t>
        </w:r>
      </w:hyperlink>
      <w:r w:rsidRPr="00AA6440">
        <w:rPr>
          <w:sz w:val="16"/>
          <w:szCs w:val="16"/>
        </w:rPr>
        <w:t xml:space="preserve">, </w:t>
      </w:r>
      <w:hyperlink r:id="rId6" w:tooltip="Link to U.S. Supreme Court added by Jureeka.org" w:history="1">
        <w:r w:rsidRPr="00AA6440">
          <w:rPr>
            <w:rStyle w:val="Hyperlink"/>
            <w:color w:val="auto"/>
            <w:sz w:val="16"/>
            <w:szCs w:val="16"/>
            <w:u w:val="none"/>
          </w:rPr>
          <w:t>467 U.S. 561</w:t>
        </w:r>
      </w:hyperlink>
      <w:r w:rsidRPr="00AA6440">
        <w:rPr>
          <w:sz w:val="16"/>
          <w:szCs w:val="16"/>
        </w:rPr>
        <w:t xml:space="preserve">, 571 (1984); </w:t>
      </w:r>
      <w:r w:rsidRPr="00AA6440">
        <w:rPr>
          <w:rStyle w:val="Emphasis"/>
          <w:sz w:val="16"/>
          <w:szCs w:val="16"/>
        </w:rPr>
        <w:t xml:space="preserve">see also </w:t>
      </w:r>
      <w:hyperlink r:id="rId7" w:history="1">
        <w:r w:rsidRPr="00AA6440">
          <w:rPr>
            <w:rStyle w:val="Hyperlink"/>
            <w:i/>
            <w:iCs/>
            <w:color w:val="auto"/>
            <w:sz w:val="16"/>
            <w:szCs w:val="16"/>
            <w:u w:val="none"/>
          </w:rPr>
          <w:t>Tory vs. Cochran</w:t>
        </w:r>
      </w:hyperlink>
      <w:r w:rsidRPr="00AA6440">
        <w:rPr>
          <w:sz w:val="16"/>
          <w:szCs w:val="16"/>
        </w:rPr>
        <w:t xml:space="preserve">, 544 U.S. 734, 736-37 (2005) (death of attorney Johnnie Cochran did not moot injunction enjoining plaintiff from defaming Cochran). A case can, of course, become moot when the plaintiff has abandoned their claims, but such abandonment must be unequivocal. </w:t>
      </w:r>
      <w:hyperlink r:id="rId8" w:history="1">
        <w:r w:rsidRPr="00AA6440">
          <w:rPr>
            <w:rStyle w:val="Emphasis"/>
            <w:sz w:val="16"/>
            <w:szCs w:val="16"/>
          </w:rPr>
          <w:t>Pacific Bell Telephone Company vs. Linkline Communications</w:t>
        </w:r>
      </w:hyperlink>
      <w:r w:rsidRPr="00AA6440">
        <w:rPr>
          <w:sz w:val="16"/>
          <w:szCs w:val="16"/>
        </w:rPr>
        <w:t xml:space="preserve">, </w:t>
      </w:r>
      <w:hyperlink r:id="rId9" w:tooltip="Link to U.S. Supreme Court added by Cornell LII" w:history="1">
        <w:r w:rsidRPr="00AA6440">
          <w:rPr>
            <w:rStyle w:val="Hyperlink"/>
            <w:color w:val="auto"/>
            <w:sz w:val="16"/>
            <w:szCs w:val="16"/>
            <w:u w:val="none"/>
          </w:rPr>
          <w:t>555 U.S. 438, 446 (2009)</w:t>
        </w:r>
      </w:hyperlink>
      <w:r w:rsidRPr="00AA6440">
        <w:rPr>
          <w:sz w:val="16"/>
          <w:szCs w:val="16"/>
        </w:rPr>
        <w:t>.</w:t>
      </w:r>
    </w:p>
  </w:footnote>
  <w:footnote w:id="13">
    <w:p w:rsidR="00A30F0C" w:rsidRPr="00AA6440" w:rsidRDefault="00A30F0C" w:rsidP="00775FE7">
      <w:pPr>
        <w:pStyle w:val="FootnoteText"/>
        <w:jc w:val="both"/>
        <w:rPr>
          <w:sz w:val="16"/>
          <w:szCs w:val="16"/>
          <w:lang w:val="en-US"/>
        </w:rPr>
      </w:pPr>
      <w:r w:rsidRPr="00AA6440">
        <w:rPr>
          <w:rStyle w:val="FootnoteReference"/>
          <w:sz w:val="16"/>
          <w:szCs w:val="16"/>
        </w:rPr>
        <w:footnoteRef/>
      </w:r>
      <w:r w:rsidRPr="00AA6440">
        <w:rPr>
          <w:sz w:val="16"/>
          <w:szCs w:val="16"/>
        </w:rPr>
        <w:t xml:space="preserve"> </w:t>
      </w:r>
      <w:hyperlink r:id="rId10" w:history="1">
        <w:r w:rsidRPr="00AA6440">
          <w:rPr>
            <w:rStyle w:val="Emphasis"/>
            <w:sz w:val="16"/>
            <w:szCs w:val="16"/>
          </w:rPr>
          <w:t>In re Burrell</w:t>
        </w:r>
      </w:hyperlink>
      <w:r w:rsidRPr="00AA6440">
        <w:rPr>
          <w:sz w:val="16"/>
          <w:szCs w:val="16"/>
        </w:rPr>
        <w:t xml:space="preserve">, </w:t>
      </w:r>
      <w:hyperlink r:id="rId11" w:tooltip="Link to Federal Reporter, Third Series added by Jureeka.org" w:history="1">
        <w:r w:rsidRPr="00AA6440">
          <w:rPr>
            <w:rStyle w:val="Hyperlink"/>
            <w:color w:val="auto"/>
            <w:sz w:val="16"/>
            <w:szCs w:val="16"/>
            <w:u w:val="none"/>
          </w:rPr>
          <w:t>415 F.3d 994</w:t>
        </w:r>
      </w:hyperlink>
      <w:r w:rsidRPr="00AA6440">
        <w:rPr>
          <w:sz w:val="16"/>
          <w:szCs w:val="16"/>
        </w:rPr>
        <w:t>, 998 (9th Cir. 2005).</w:t>
      </w:r>
    </w:p>
  </w:footnote>
  <w:footnote w:id="14">
    <w:p w:rsidR="00A30F0C" w:rsidRPr="003A0F25" w:rsidRDefault="00A30F0C" w:rsidP="00775FE7">
      <w:pPr>
        <w:pStyle w:val="FootnoteText"/>
        <w:jc w:val="both"/>
        <w:rPr>
          <w:sz w:val="16"/>
          <w:szCs w:val="16"/>
          <w:lang w:val="en-US"/>
        </w:rPr>
      </w:pPr>
      <w:r w:rsidRPr="00AA6440">
        <w:rPr>
          <w:rStyle w:val="FootnoteReference"/>
          <w:sz w:val="16"/>
          <w:szCs w:val="16"/>
        </w:rPr>
        <w:footnoteRef/>
      </w:r>
      <w:r w:rsidRPr="00AA6440">
        <w:rPr>
          <w:sz w:val="16"/>
          <w:szCs w:val="16"/>
        </w:rPr>
        <w:t xml:space="preserve"> </w:t>
      </w:r>
      <w:hyperlink r:id="rId12" w:history="1">
        <w:r w:rsidRPr="00AA6440">
          <w:rPr>
            <w:rStyle w:val="Emphasis"/>
            <w:sz w:val="16"/>
            <w:szCs w:val="16"/>
          </w:rPr>
          <w:t>Board of Pardons vs. Allen</w:t>
        </w:r>
      </w:hyperlink>
      <w:r w:rsidRPr="00AA6440">
        <w:rPr>
          <w:sz w:val="16"/>
          <w:szCs w:val="16"/>
        </w:rPr>
        <w:t xml:space="preserve">, </w:t>
      </w:r>
      <w:hyperlink r:id="rId13" w:tooltip="Link to U.S. Supreme Court added by Jureeka.org" w:history="1">
        <w:r w:rsidRPr="00AA6440">
          <w:rPr>
            <w:rStyle w:val="Hyperlink"/>
            <w:color w:val="auto"/>
            <w:sz w:val="16"/>
            <w:szCs w:val="16"/>
            <w:u w:val="none"/>
          </w:rPr>
          <w:t>482 U.S. 369</w:t>
        </w:r>
      </w:hyperlink>
      <w:r w:rsidRPr="00AA6440">
        <w:rPr>
          <w:sz w:val="16"/>
          <w:szCs w:val="16"/>
        </w:rPr>
        <w:t xml:space="preserve">, 370 n.1 (1987), illustrates the use of a damage claim to avoid mootness. Prisoners who were denied parole without a statement of reasons challenged the denial. They claimed that the state statute mandating release under certain circumstances created a liberty interest in eligibility for parole protected by the </w:t>
      </w:r>
      <w:hyperlink r:id="rId14" w:history="1">
        <w:r w:rsidRPr="00AA6440">
          <w:rPr>
            <w:rStyle w:val="Hyperlink"/>
            <w:color w:val="auto"/>
            <w:sz w:val="16"/>
            <w:szCs w:val="16"/>
            <w:u w:val="none"/>
          </w:rPr>
          <w:t>Fourteenth Amendment</w:t>
        </w:r>
      </w:hyperlink>
      <w:r w:rsidRPr="00AA6440">
        <w:rPr>
          <w:sz w:val="16"/>
          <w:szCs w:val="16"/>
        </w:rPr>
        <w:t xml:space="preserve">. Plaintiffs sought damages as well as declaratory and </w:t>
      </w:r>
      <w:r w:rsidRPr="003A0F25">
        <w:rPr>
          <w:sz w:val="16"/>
          <w:szCs w:val="16"/>
        </w:rPr>
        <w:t xml:space="preserve">injunctive relief. Although plaintiffs were later released, mooting their individual claims for injunctive relief, their damage claims remained alive. Because the immunity of defendants was not settled, the Supreme Court reached the merits, holding that plaintiffs had a cognizable liberty interest in the processing of their parole applications. The Court remanded the case for further proceedings. </w:t>
      </w:r>
      <w:r w:rsidRPr="003A0F25">
        <w:rPr>
          <w:rStyle w:val="Emphasis"/>
          <w:sz w:val="16"/>
          <w:szCs w:val="16"/>
        </w:rPr>
        <w:t xml:space="preserve">See also </w:t>
      </w:r>
      <w:hyperlink r:id="rId15" w:history="1">
        <w:r w:rsidRPr="003A0F25">
          <w:rPr>
            <w:rStyle w:val="Hyperlink"/>
            <w:i/>
            <w:iCs/>
            <w:color w:val="auto"/>
            <w:sz w:val="16"/>
            <w:szCs w:val="16"/>
            <w:u w:val="none"/>
          </w:rPr>
          <w:t>City of Richmond vs. J.A. Croson Company</w:t>
        </w:r>
      </w:hyperlink>
      <w:r w:rsidRPr="003A0F25">
        <w:rPr>
          <w:sz w:val="16"/>
          <w:szCs w:val="16"/>
        </w:rPr>
        <w:t xml:space="preserve">, </w:t>
      </w:r>
      <w:hyperlink r:id="rId16" w:tooltip="Link to U.S. Supreme Court added by Jureeka.org" w:history="1">
        <w:r w:rsidRPr="003A0F25">
          <w:rPr>
            <w:rStyle w:val="Hyperlink"/>
            <w:color w:val="auto"/>
            <w:sz w:val="16"/>
            <w:szCs w:val="16"/>
            <w:u w:val="none"/>
          </w:rPr>
          <w:t>488 U.S. 469</w:t>
        </w:r>
      </w:hyperlink>
      <w:r w:rsidRPr="003A0F25">
        <w:rPr>
          <w:sz w:val="16"/>
          <w:szCs w:val="16"/>
        </w:rPr>
        <w:t xml:space="preserve">, 478 n.l (1989). An inability to pay a damages judgment at present does not moot a claim. </w:t>
      </w:r>
      <w:r w:rsidRPr="003A0F25">
        <w:rPr>
          <w:rStyle w:val="Emphasis"/>
          <w:sz w:val="16"/>
          <w:szCs w:val="16"/>
        </w:rPr>
        <w:t>See</w:t>
      </w:r>
      <w:r w:rsidRPr="003A0F25">
        <w:rPr>
          <w:sz w:val="16"/>
          <w:szCs w:val="16"/>
        </w:rPr>
        <w:t xml:space="preserve"> </w:t>
      </w:r>
      <w:hyperlink r:id="rId17" w:history="1">
        <w:r w:rsidRPr="003A0F25">
          <w:rPr>
            <w:rStyle w:val="Emphasis"/>
            <w:sz w:val="16"/>
            <w:szCs w:val="16"/>
          </w:rPr>
          <w:t>United States vs. Behrman</w:t>
        </w:r>
      </w:hyperlink>
      <w:r w:rsidRPr="003A0F25">
        <w:rPr>
          <w:sz w:val="16"/>
          <w:szCs w:val="16"/>
        </w:rPr>
        <w:t xml:space="preserve">, </w:t>
      </w:r>
      <w:hyperlink r:id="rId18" w:tooltip="Link to Federal Reporter, Third Series added by Jureeka.org" w:history="1">
        <w:r w:rsidRPr="003A0F25">
          <w:rPr>
            <w:rStyle w:val="Hyperlink"/>
            <w:color w:val="auto"/>
            <w:sz w:val="16"/>
            <w:szCs w:val="16"/>
            <w:u w:val="none"/>
          </w:rPr>
          <w:t>235 F.3d 1049</w:t>
        </w:r>
      </w:hyperlink>
      <w:r w:rsidRPr="003A0F25">
        <w:rPr>
          <w:sz w:val="16"/>
          <w:szCs w:val="16"/>
        </w:rPr>
        <w:t xml:space="preserve">, 1053 (7th Cir. 2000). However, if the judgment seemingly could never be paid, a claim might be dismissed on prudential grounds. </w:t>
      </w:r>
      <w:r w:rsidRPr="003A0F25">
        <w:rPr>
          <w:rStyle w:val="Emphasis"/>
          <w:sz w:val="16"/>
          <w:szCs w:val="16"/>
        </w:rPr>
        <w:t>See</w:t>
      </w:r>
      <w:r w:rsidRPr="003A0F25">
        <w:rPr>
          <w:sz w:val="16"/>
          <w:szCs w:val="16"/>
        </w:rPr>
        <w:t xml:space="preserve">, </w:t>
      </w:r>
      <w:r w:rsidRPr="003A0F25">
        <w:rPr>
          <w:rStyle w:val="Emphasis"/>
          <w:sz w:val="16"/>
          <w:szCs w:val="16"/>
        </w:rPr>
        <w:t>e.g.</w:t>
      </w:r>
      <w:r w:rsidRPr="003A0F25">
        <w:rPr>
          <w:sz w:val="16"/>
          <w:szCs w:val="16"/>
        </w:rPr>
        <w:t xml:space="preserve">, </w:t>
      </w:r>
      <w:hyperlink r:id="rId19" w:history="1">
        <w:r w:rsidRPr="003A0F25">
          <w:rPr>
            <w:rStyle w:val="Emphasis"/>
            <w:sz w:val="16"/>
            <w:szCs w:val="16"/>
          </w:rPr>
          <w:t>Federal Deposit Insurance Corporation vs. Kooyomjian</w:t>
        </w:r>
      </w:hyperlink>
      <w:r w:rsidRPr="003A0F25">
        <w:rPr>
          <w:sz w:val="16"/>
          <w:szCs w:val="16"/>
        </w:rPr>
        <w:t xml:space="preserve">, </w:t>
      </w:r>
      <w:hyperlink r:id="rId20" w:tooltip="Link to Federal Reporter, Third Series added by Jureeka.org" w:history="1">
        <w:r w:rsidRPr="003A0F25">
          <w:rPr>
            <w:rStyle w:val="Hyperlink"/>
            <w:color w:val="auto"/>
            <w:sz w:val="16"/>
            <w:szCs w:val="16"/>
            <w:u w:val="none"/>
          </w:rPr>
          <w:t>220 F.3d 10</w:t>
        </w:r>
      </w:hyperlink>
      <w:r w:rsidRPr="003A0F25">
        <w:rPr>
          <w:sz w:val="16"/>
          <w:szCs w:val="16"/>
        </w:rPr>
        <w:t>, 14-15 (1st Cir. 2000).</w:t>
      </w:r>
    </w:p>
  </w:footnote>
  <w:footnote w:id="15">
    <w:p w:rsidR="00A30F0C" w:rsidRPr="003A0F25" w:rsidRDefault="00A30F0C" w:rsidP="00775FE7">
      <w:pPr>
        <w:pStyle w:val="FootnoteText"/>
        <w:jc w:val="both"/>
        <w:rPr>
          <w:sz w:val="16"/>
          <w:szCs w:val="16"/>
          <w:lang w:val="en-US"/>
        </w:rPr>
      </w:pPr>
      <w:r w:rsidRPr="003A0F25">
        <w:rPr>
          <w:rStyle w:val="FootnoteReference"/>
          <w:sz w:val="16"/>
          <w:szCs w:val="16"/>
        </w:rPr>
        <w:footnoteRef/>
      </w:r>
      <w:r w:rsidRPr="003A0F25">
        <w:rPr>
          <w:sz w:val="16"/>
          <w:szCs w:val="16"/>
        </w:rPr>
        <w:t xml:space="preserve"> </w:t>
      </w:r>
      <w:r w:rsidRPr="003A0F25">
        <w:rPr>
          <w:rFonts w:cs="Arial"/>
          <w:bCs/>
          <w:i/>
          <w:sz w:val="16"/>
          <w:szCs w:val="16"/>
          <w:shd w:val="clear" w:color="auto" w:fill="FFFFFF"/>
        </w:rPr>
        <w:t>Political Parties Forum Coalition &amp; 3 others v s Registrar of Political Parties &amp; 8 others</w:t>
      </w:r>
      <w:r w:rsidRPr="003A0F25">
        <w:rPr>
          <w:rFonts w:cs="Arial"/>
          <w:bCs/>
          <w:sz w:val="16"/>
          <w:szCs w:val="16"/>
          <w:shd w:val="clear" w:color="auto" w:fill="FFFFFF"/>
        </w:rPr>
        <w:t xml:space="preserve"> [2016] eKLR</w:t>
      </w:r>
    </w:p>
  </w:footnote>
  <w:footnote w:id="16">
    <w:p w:rsidR="00A30F0C" w:rsidRPr="00883F69" w:rsidRDefault="00A30F0C" w:rsidP="00775FE7">
      <w:pPr>
        <w:pStyle w:val="FootnoteText"/>
        <w:jc w:val="both"/>
        <w:rPr>
          <w:sz w:val="16"/>
          <w:szCs w:val="16"/>
          <w:lang w:val="en-US"/>
        </w:rPr>
      </w:pPr>
      <w:r w:rsidRPr="003A0F25">
        <w:rPr>
          <w:rStyle w:val="FootnoteReference"/>
          <w:sz w:val="16"/>
          <w:szCs w:val="16"/>
        </w:rPr>
        <w:footnoteRef/>
      </w:r>
      <w:r w:rsidRPr="003A0F25">
        <w:rPr>
          <w:sz w:val="16"/>
          <w:szCs w:val="16"/>
        </w:rPr>
        <w:t xml:space="preserve"> See </w:t>
      </w:r>
      <w:r w:rsidRPr="003A0F25">
        <w:rPr>
          <w:i/>
          <w:sz w:val="16"/>
          <w:szCs w:val="16"/>
        </w:rPr>
        <w:t>Plateau State vs. A.G.F</w:t>
      </w:r>
      <w:r w:rsidRPr="003A0F25">
        <w:rPr>
          <w:sz w:val="16"/>
          <w:szCs w:val="16"/>
        </w:rPr>
        <w:t>. {2006} 3 NWLR (Pt. 967) 346 at 419 paras. F-G wherein the Nigerian Supreme  court defined an academic suit or petition the above terms</w:t>
      </w:r>
    </w:p>
  </w:footnote>
  <w:footnote w:id="17">
    <w:p w:rsidR="00A30F0C" w:rsidRPr="00740748" w:rsidRDefault="00A30F0C" w:rsidP="00716AD9">
      <w:pPr>
        <w:pStyle w:val="FootnoteText"/>
        <w:jc w:val="both"/>
        <w:rPr>
          <w:sz w:val="16"/>
          <w:szCs w:val="16"/>
          <w:lang w:val="en-US"/>
        </w:rPr>
      </w:pPr>
      <w:r>
        <w:rPr>
          <w:rStyle w:val="FootnoteReference"/>
        </w:rPr>
        <w:footnoteRef/>
      </w:r>
      <w:r w:rsidRPr="00740748">
        <w:rPr>
          <w:i/>
          <w:iCs/>
          <w:sz w:val="16"/>
          <w:szCs w:val="16"/>
        </w:rPr>
        <w:t>Osmeña III vs. Social Security System of the Philippines</w:t>
      </w:r>
      <w:r w:rsidRPr="00740748">
        <w:rPr>
          <w:sz w:val="16"/>
          <w:szCs w:val="16"/>
        </w:rPr>
        <w:t xml:space="preserve"> G.R. No. 165272, 13 September 2007, 533 SCRA 313, citing </w:t>
      </w:r>
      <w:r w:rsidRPr="00740748">
        <w:rPr>
          <w:i/>
          <w:iCs/>
          <w:sz w:val="16"/>
          <w:szCs w:val="16"/>
        </w:rPr>
        <w:t>Province of Batangas v</w:t>
      </w:r>
      <w:r>
        <w:rPr>
          <w:i/>
          <w:iCs/>
          <w:sz w:val="16"/>
          <w:szCs w:val="16"/>
        </w:rPr>
        <w:t>s</w:t>
      </w:r>
      <w:r w:rsidRPr="00740748">
        <w:rPr>
          <w:i/>
          <w:iCs/>
          <w:sz w:val="16"/>
          <w:szCs w:val="16"/>
        </w:rPr>
        <w:t>. Romulo</w:t>
      </w:r>
      <w:r w:rsidRPr="00740748">
        <w:rPr>
          <w:sz w:val="16"/>
          <w:szCs w:val="16"/>
        </w:rPr>
        <w:t xml:space="preserve">, G.R. No. 152774, 27 May 2004, 429 SCRA 736, 754; </w:t>
      </w:r>
      <w:r w:rsidRPr="00740748">
        <w:rPr>
          <w:i/>
          <w:iCs/>
          <w:sz w:val="16"/>
          <w:szCs w:val="16"/>
        </w:rPr>
        <w:t>Olanolan v. Comelec</w:t>
      </w:r>
      <w:r w:rsidRPr="00740748">
        <w:rPr>
          <w:sz w:val="16"/>
          <w:szCs w:val="16"/>
        </w:rPr>
        <w:t xml:space="preserve">, 494 Phil. 749,759 (2005); </w:t>
      </w:r>
      <w:r w:rsidRPr="00740748">
        <w:rPr>
          <w:i/>
          <w:iCs/>
          <w:sz w:val="16"/>
          <w:szCs w:val="16"/>
        </w:rPr>
        <w:t>Paloma v. CA</w:t>
      </w:r>
      <w:r w:rsidRPr="00740748">
        <w:rPr>
          <w:sz w:val="16"/>
          <w:szCs w:val="16"/>
        </w:rPr>
        <w:t>, 461 Phil. 269, 276-277 (2003).</w:t>
      </w:r>
    </w:p>
  </w:footnote>
  <w:footnote w:id="18">
    <w:p w:rsidR="00230077" w:rsidRPr="00230077" w:rsidRDefault="00230077" w:rsidP="00230077">
      <w:pPr>
        <w:pStyle w:val="FootnoteText"/>
        <w:jc w:val="both"/>
        <w:rPr>
          <w:rFonts w:ascii="Times New Roman" w:hAnsi="Times New Roman"/>
          <w:sz w:val="16"/>
          <w:szCs w:val="16"/>
        </w:rPr>
      </w:pPr>
      <w:r w:rsidRPr="00230077">
        <w:rPr>
          <w:rStyle w:val="FootnoteReference"/>
          <w:rFonts w:ascii="Times New Roman" w:hAnsi="Times New Roman"/>
          <w:sz w:val="16"/>
          <w:szCs w:val="16"/>
        </w:rPr>
        <w:footnoteRef/>
      </w:r>
      <w:r w:rsidRPr="00230077">
        <w:rPr>
          <w:rFonts w:ascii="Times New Roman" w:hAnsi="Times New Roman"/>
          <w:color w:val="000000"/>
          <w:sz w:val="16"/>
          <w:szCs w:val="16"/>
          <w:shd w:val="clear" w:color="auto" w:fill="FFFFFF"/>
        </w:rPr>
        <w:t>Diamond 1946 </w:t>
      </w:r>
      <w:r w:rsidRPr="00230077">
        <w:rPr>
          <w:rFonts w:ascii="Times New Roman" w:hAnsi="Times New Roman"/>
          <w:i/>
          <w:iCs/>
          <w:color w:val="000000"/>
          <w:sz w:val="16"/>
          <w:szCs w:val="16"/>
          <w:shd w:val="clear" w:color="auto" w:fill="FFFFFF"/>
        </w:rPr>
        <w:t>U Pa L Rev</w:t>
      </w:r>
      <w:r w:rsidRPr="00230077">
        <w:rPr>
          <w:rFonts w:ascii="Times New Roman" w:hAnsi="Times New Roman"/>
          <w:color w:val="000000"/>
          <w:sz w:val="16"/>
          <w:szCs w:val="16"/>
          <w:shd w:val="clear" w:color="auto" w:fill="FFFFFF"/>
        </w:rPr>
        <w:t> 125. See also Brilmayer 1979 </w:t>
      </w:r>
      <w:r w:rsidRPr="00230077">
        <w:rPr>
          <w:rFonts w:ascii="Times New Roman" w:hAnsi="Times New Roman"/>
          <w:i/>
          <w:iCs/>
          <w:color w:val="000000"/>
          <w:sz w:val="16"/>
          <w:szCs w:val="16"/>
          <w:shd w:val="clear" w:color="auto" w:fill="FFFFFF"/>
        </w:rPr>
        <w:t>Harv L Rev</w:t>
      </w:r>
      <w:r w:rsidRPr="00230077">
        <w:rPr>
          <w:rFonts w:ascii="Times New Roman" w:hAnsi="Times New Roman"/>
          <w:color w:val="000000"/>
          <w:sz w:val="16"/>
          <w:szCs w:val="16"/>
          <w:shd w:val="clear" w:color="auto" w:fill="FFFFFF"/>
        </w:rPr>
        <w:t> 297; Fountaine 1998 </w:t>
      </w:r>
      <w:r w:rsidRPr="00230077">
        <w:rPr>
          <w:rFonts w:ascii="Times New Roman" w:hAnsi="Times New Roman"/>
          <w:i/>
          <w:iCs/>
          <w:color w:val="000000"/>
          <w:sz w:val="16"/>
          <w:szCs w:val="16"/>
          <w:shd w:val="clear" w:color="auto" w:fill="FFFFFF"/>
        </w:rPr>
        <w:t>Am U L Rev</w:t>
      </w:r>
      <w:r w:rsidRPr="00230077">
        <w:rPr>
          <w:rFonts w:ascii="Times New Roman" w:hAnsi="Times New Roman"/>
          <w:color w:val="000000"/>
          <w:sz w:val="16"/>
          <w:szCs w:val="16"/>
          <w:shd w:val="clear" w:color="auto" w:fill="FFFFFF"/>
        </w:rPr>
        <w:t> 1053; Peter and John </w:t>
      </w:r>
      <w:r w:rsidRPr="00230077">
        <w:rPr>
          <w:rFonts w:ascii="Times New Roman" w:hAnsi="Times New Roman"/>
          <w:i/>
          <w:iCs/>
          <w:color w:val="000000"/>
          <w:sz w:val="16"/>
          <w:szCs w:val="16"/>
          <w:shd w:val="clear" w:color="auto" w:fill="FFFFFF"/>
        </w:rPr>
        <w:t>Federal Courts.</w:t>
      </w:r>
      <w:r w:rsidRPr="00230077">
        <w:rPr>
          <w:rFonts w:ascii="Times New Roman" w:hAnsi="Times New Roman"/>
          <w:color w:val="000000"/>
          <w:sz w:val="16"/>
          <w:szCs w:val="16"/>
          <w:shd w:val="clear" w:color="auto" w:fill="FFFFFF"/>
        </w:rPr>
        <w:t> For a recent critical discussion of the mootness doctrine see Hall 2008 works.bepress.com.</w:t>
      </w:r>
      <w:r w:rsidRPr="00230077">
        <w:rPr>
          <w:rFonts w:ascii="Times New Roman" w:hAnsi="Times New Roman"/>
          <w:sz w:val="16"/>
          <w:szCs w:val="16"/>
        </w:rPr>
        <w:t xml:space="preserve"> </w:t>
      </w:r>
    </w:p>
  </w:footnote>
  <w:footnote w:id="19">
    <w:p w:rsidR="00DA4C67" w:rsidRDefault="00DA4C67" w:rsidP="00DA4C67">
      <w:pPr>
        <w:pStyle w:val="FootnoteText"/>
        <w:jc w:val="both"/>
      </w:pPr>
      <w:r>
        <w:rPr>
          <w:rStyle w:val="FootnoteReference"/>
        </w:rPr>
        <w:footnoteRef/>
      </w:r>
      <w:r>
        <w:t xml:space="preserve"> </w:t>
      </w:r>
      <w:r w:rsidRPr="00DA4C67">
        <w:rPr>
          <w:rFonts w:asciiTheme="minorHAnsi" w:hAnsiTheme="minorHAnsi" w:cstheme="minorHAnsi"/>
          <w:color w:val="000000"/>
          <w:sz w:val="16"/>
          <w:szCs w:val="16"/>
          <w:shd w:val="clear" w:color="auto" w:fill="FFFFFF"/>
        </w:rPr>
        <w:t>Diamond 1946 </w:t>
      </w:r>
      <w:r w:rsidRPr="00DA4C67">
        <w:rPr>
          <w:rFonts w:asciiTheme="minorHAnsi" w:hAnsiTheme="minorHAnsi" w:cstheme="minorHAnsi"/>
          <w:i/>
          <w:iCs/>
          <w:color w:val="000000"/>
          <w:sz w:val="16"/>
          <w:szCs w:val="16"/>
          <w:shd w:val="clear" w:color="auto" w:fill="FFFFFF"/>
        </w:rPr>
        <w:t>U Pa L Rev</w:t>
      </w:r>
      <w:r w:rsidRPr="00DA4C67">
        <w:rPr>
          <w:rFonts w:asciiTheme="minorHAnsi" w:hAnsiTheme="minorHAnsi" w:cstheme="minorHAnsi"/>
          <w:color w:val="000000"/>
          <w:sz w:val="16"/>
          <w:szCs w:val="16"/>
          <w:shd w:val="clear" w:color="auto" w:fill="FFFFFF"/>
        </w:rPr>
        <w:t> 125.</w:t>
      </w:r>
    </w:p>
  </w:footnote>
  <w:footnote w:id="20">
    <w:p w:rsidR="00C5009E" w:rsidRPr="00C5009E" w:rsidRDefault="00C5009E" w:rsidP="00C5009E">
      <w:pPr>
        <w:pStyle w:val="FootnoteText"/>
        <w:jc w:val="both"/>
        <w:rPr>
          <w:rFonts w:asciiTheme="minorHAnsi" w:hAnsiTheme="minorHAnsi" w:cstheme="minorHAnsi"/>
          <w:sz w:val="16"/>
          <w:szCs w:val="16"/>
        </w:rPr>
      </w:pPr>
      <w:r w:rsidRPr="00C5009E">
        <w:rPr>
          <w:rStyle w:val="FootnoteReference"/>
          <w:rFonts w:asciiTheme="minorHAnsi" w:hAnsiTheme="minorHAnsi" w:cstheme="minorHAnsi"/>
          <w:sz w:val="16"/>
          <w:szCs w:val="16"/>
        </w:rPr>
        <w:footnoteRef/>
      </w:r>
      <w:r w:rsidRPr="00C5009E">
        <w:rPr>
          <w:rFonts w:asciiTheme="minorHAnsi" w:hAnsiTheme="minorHAnsi" w:cstheme="minorHAnsi"/>
          <w:sz w:val="16"/>
          <w:szCs w:val="16"/>
        </w:rPr>
        <w:t xml:space="preserve"> </w:t>
      </w:r>
      <w:r w:rsidRPr="00C5009E">
        <w:rPr>
          <w:rFonts w:asciiTheme="minorHAnsi" w:hAnsiTheme="minorHAnsi" w:cstheme="minorHAnsi"/>
          <w:color w:val="000000"/>
          <w:sz w:val="16"/>
          <w:szCs w:val="16"/>
          <w:shd w:val="clear" w:color="auto" w:fill="FFFFFF"/>
        </w:rPr>
        <w:t>Barron and Dienes (eds) </w:t>
      </w:r>
      <w:r w:rsidRPr="00C5009E">
        <w:rPr>
          <w:rFonts w:asciiTheme="minorHAnsi" w:hAnsiTheme="minorHAnsi" w:cstheme="minorHAnsi"/>
          <w:i/>
          <w:iCs/>
          <w:color w:val="000000"/>
          <w:sz w:val="16"/>
          <w:szCs w:val="16"/>
          <w:shd w:val="clear" w:color="auto" w:fill="FFFFFF"/>
        </w:rPr>
        <w:t>Constitutional Law</w:t>
      </w:r>
      <w:r w:rsidRPr="00C5009E">
        <w:rPr>
          <w:rFonts w:asciiTheme="minorHAnsi" w:hAnsiTheme="minorHAnsi" w:cstheme="minorHAnsi"/>
          <w:color w:val="000000"/>
          <w:sz w:val="16"/>
          <w:szCs w:val="16"/>
          <w:shd w:val="clear" w:color="auto" w:fill="FFFFFF"/>
        </w:rPr>
        <w:t> 44.</w:t>
      </w:r>
    </w:p>
  </w:footnote>
  <w:footnote w:id="21">
    <w:p w:rsidR="00C5009E" w:rsidRDefault="00C5009E" w:rsidP="00C5009E">
      <w:pPr>
        <w:pStyle w:val="FootnoteText"/>
        <w:jc w:val="both"/>
      </w:pPr>
      <w:r w:rsidRPr="00C5009E">
        <w:rPr>
          <w:rStyle w:val="FootnoteReference"/>
          <w:rFonts w:asciiTheme="minorHAnsi" w:hAnsiTheme="minorHAnsi" w:cstheme="minorHAnsi"/>
          <w:sz w:val="16"/>
          <w:szCs w:val="16"/>
        </w:rPr>
        <w:footnoteRef/>
      </w:r>
      <w:r w:rsidRPr="00C5009E">
        <w:rPr>
          <w:rFonts w:asciiTheme="minorHAnsi" w:hAnsiTheme="minorHAnsi" w:cstheme="minorHAnsi"/>
          <w:sz w:val="16"/>
          <w:szCs w:val="16"/>
        </w:rPr>
        <w:t xml:space="preserve"> </w:t>
      </w:r>
      <w:r w:rsidRPr="00C5009E">
        <w:rPr>
          <w:rFonts w:asciiTheme="minorHAnsi" w:hAnsiTheme="minorHAnsi" w:cstheme="minorHAnsi"/>
          <w:color w:val="000000"/>
          <w:sz w:val="16"/>
          <w:szCs w:val="16"/>
          <w:shd w:val="clear" w:color="auto" w:fill="FFFFFF"/>
        </w:rPr>
        <w:t>Loots "Standing, Ripeness and Mootness" 18</w:t>
      </w:r>
      <w:r>
        <w:rPr>
          <w:rFonts w:ascii="Verdana" w:hAnsi="Verdana"/>
          <w:color w:val="000000"/>
          <w:shd w:val="clear" w:color="auto" w:fill="FFFFFF"/>
        </w:rPr>
        <w:t>.</w:t>
      </w:r>
    </w:p>
  </w:footnote>
  <w:footnote w:id="22">
    <w:p w:rsidR="008C723F" w:rsidRPr="008C723F" w:rsidRDefault="008C723F" w:rsidP="008C723F">
      <w:pPr>
        <w:pStyle w:val="FootnoteText"/>
        <w:jc w:val="both"/>
        <w:rPr>
          <w:rFonts w:ascii="Times New Roman" w:hAnsi="Times New Roman"/>
          <w:sz w:val="16"/>
          <w:szCs w:val="16"/>
        </w:rPr>
      </w:pPr>
      <w:r w:rsidRPr="008C723F">
        <w:rPr>
          <w:rStyle w:val="FootnoteReference"/>
          <w:rFonts w:ascii="Times New Roman" w:hAnsi="Times New Roman"/>
          <w:sz w:val="16"/>
          <w:szCs w:val="16"/>
        </w:rPr>
        <w:footnoteRef/>
      </w:r>
      <w:r w:rsidRPr="008C723F">
        <w:rPr>
          <w:rFonts w:ascii="Times New Roman" w:hAnsi="Times New Roman"/>
          <w:sz w:val="16"/>
          <w:szCs w:val="16"/>
        </w:rPr>
        <w:t xml:space="preserve"> See </w:t>
      </w:r>
      <w:r w:rsidRPr="008C723F">
        <w:rPr>
          <w:rFonts w:ascii="Times New Roman" w:hAnsi="Times New Roman"/>
          <w:color w:val="000000"/>
          <w:sz w:val="16"/>
          <w:szCs w:val="16"/>
          <w:shd w:val="clear" w:color="auto" w:fill="FFFFFF"/>
        </w:rPr>
        <w:t>S </w:t>
      </w:r>
      <w:r w:rsidRPr="008C723F">
        <w:rPr>
          <w:rFonts w:ascii="Times New Roman" w:hAnsi="Times New Roman"/>
          <w:i/>
          <w:iCs/>
          <w:color w:val="000000"/>
          <w:sz w:val="16"/>
          <w:szCs w:val="16"/>
          <w:shd w:val="clear" w:color="auto" w:fill="FFFFFF"/>
        </w:rPr>
        <w:t>v Manamela</w:t>
      </w:r>
      <w:r w:rsidRPr="008C723F">
        <w:rPr>
          <w:rFonts w:ascii="Times New Roman" w:hAnsi="Times New Roman"/>
          <w:color w:val="000000"/>
          <w:sz w:val="16"/>
          <w:szCs w:val="16"/>
          <w:shd w:val="clear" w:color="auto" w:fill="FFFFFF"/>
        </w:rPr>
        <w:t> 2000 5 BCLR 491 (CC) para 12. See also </w:t>
      </w:r>
      <w:r w:rsidRPr="008C723F">
        <w:rPr>
          <w:rFonts w:ascii="Times New Roman" w:hAnsi="Times New Roman"/>
          <w:i/>
          <w:iCs/>
          <w:color w:val="000000"/>
          <w:sz w:val="16"/>
          <w:szCs w:val="16"/>
          <w:shd w:val="clear" w:color="auto" w:fill="FFFFFF"/>
        </w:rPr>
        <w:t>Independent Electoral Commission v Langeberg Municipality</w:t>
      </w:r>
      <w:r w:rsidRPr="008C723F">
        <w:rPr>
          <w:rFonts w:ascii="Times New Roman" w:hAnsi="Times New Roman"/>
          <w:color w:val="000000"/>
          <w:sz w:val="16"/>
          <w:szCs w:val="16"/>
          <w:shd w:val="clear" w:color="auto" w:fill="FFFFFF"/>
        </w:rPr>
        <w:t> 2001 9 BCLR 883 (CC) para 11; </w:t>
      </w:r>
      <w:r w:rsidRPr="008C723F">
        <w:rPr>
          <w:rFonts w:ascii="Times New Roman" w:hAnsi="Times New Roman"/>
          <w:i/>
          <w:iCs/>
          <w:color w:val="000000"/>
          <w:sz w:val="16"/>
          <w:szCs w:val="16"/>
          <w:shd w:val="clear" w:color="auto" w:fill="FFFFFF"/>
        </w:rPr>
        <w:t>AAA Investments Pty (Ltd) v Micro Finance Regulatory Council</w:t>
      </w:r>
      <w:r w:rsidRPr="008C723F">
        <w:rPr>
          <w:rFonts w:ascii="Times New Roman" w:hAnsi="Times New Roman"/>
          <w:color w:val="000000"/>
          <w:sz w:val="16"/>
          <w:szCs w:val="16"/>
          <w:shd w:val="clear" w:color="auto" w:fill="FFFFFF"/>
        </w:rPr>
        <w:t> 2006 11 BCLR 1255 (CC) para 27.</w:t>
      </w:r>
    </w:p>
  </w:footnote>
  <w:footnote w:id="23">
    <w:p w:rsidR="00A30F0C" w:rsidRPr="003A0F25" w:rsidRDefault="00A30F0C" w:rsidP="00716AD9">
      <w:pPr>
        <w:shd w:val="clear" w:color="auto" w:fill="FFFFFF"/>
        <w:spacing w:after="0" w:line="240" w:lineRule="auto"/>
        <w:jc w:val="both"/>
        <w:rPr>
          <w:sz w:val="16"/>
          <w:szCs w:val="16"/>
          <w:lang w:val="en-US"/>
        </w:rPr>
      </w:pPr>
      <w:r w:rsidRPr="003A0F25">
        <w:rPr>
          <w:rStyle w:val="FootnoteReference"/>
          <w:sz w:val="16"/>
          <w:szCs w:val="16"/>
        </w:rPr>
        <w:footnoteRef/>
      </w:r>
      <w:r w:rsidRPr="003A0F25">
        <w:rPr>
          <w:sz w:val="16"/>
          <w:szCs w:val="16"/>
        </w:rPr>
        <w:t xml:space="preserve"> </w:t>
      </w:r>
      <w:r w:rsidRPr="003A0F25">
        <w:rPr>
          <w:i/>
          <w:sz w:val="16"/>
          <w:szCs w:val="16"/>
        </w:rPr>
        <w:t>Oladipo vs. Oyelami</w:t>
      </w:r>
      <w:r w:rsidRPr="003A0F25">
        <w:rPr>
          <w:sz w:val="16"/>
          <w:szCs w:val="16"/>
        </w:rPr>
        <w:t xml:space="preserve"> {1989} 5 NWLR (Pt. 1</w:t>
      </w:r>
      <w:r>
        <w:rPr>
          <w:sz w:val="16"/>
          <w:szCs w:val="16"/>
        </w:rPr>
        <w:t xml:space="preserve">20) 210; </w:t>
      </w:r>
      <w:r w:rsidRPr="00716AD9">
        <w:rPr>
          <w:i/>
          <w:sz w:val="16"/>
          <w:szCs w:val="16"/>
        </w:rPr>
        <w:t>Ukejianya vs. Uchendu</w:t>
      </w:r>
      <w:r>
        <w:rPr>
          <w:sz w:val="16"/>
          <w:szCs w:val="16"/>
        </w:rPr>
        <w:t xml:space="preserve"> {</w:t>
      </w:r>
      <w:r w:rsidRPr="003A0F25">
        <w:rPr>
          <w:sz w:val="16"/>
          <w:szCs w:val="16"/>
        </w:rPr>
        <w:t>1950} 13 WACA 45</w:t>
      </w:r>
    </w:p>
  </w:footnote>
  <w:footnote w:id="24">
    <w:p w:rsidR="00A30F0C" w:rsidRPr="00740748" w:rsidRDefault="00A30F0C" w:rsidP="00716AD9">
      <w:pPr>
        <w:shd w:val="clear" w:color="auto" w:fill="FFFFFF"/>
        <w:spacing w:after="0" w:line="240" w:lineRule="auto"/>
        <w:jc w:val="both"/>
        <w:rPr>
          <w:rFonts w:eastAsia="Times New Roman"/>
          <w:i/>
          <w:sz w:val="16"/>
          <w:szCs w:val="16"/>
          <w:lang w:eastAsia="en-GB"/>
        </w:rPr>
      </w:pPr>
      <w:r w:rsidRPr="00740748">
        <w:rPr>
          <w:rStyle w:val="FootnoteReference"/>
          <w:sz w:val="16"/>
          <w:szCs w:val="16"/>
        </w:rPr>
        <w:footnoteRef/>
      </w:r>
      <w:r w:rsidRPr="00740748">
        <w:rPr>
          <w:sz w:val="16"/>
          <w:szCs w:val="16"/>
        </w:rPr>
        <w:t xml:space="preserve"> </w:t>
      </w:r>
      <w:r w:rsidRPr="00740748">
        <w:rPr>
          <w:rStyle w:val="Emphasis"/>
          <w:i w:val="0"/>
          <w:sz w:val="16"/>
          <w:szCs w:val="16"/>
        </w:rPr>
        <w:t>Mills vs. Green</w:t>
      </w:r>
      <w:r w:rsidRPr="00740748">
        <w:rPr>
          <w:i/>
          <w:sz w:val="16"/>
          <w:szCs w:val="16"/>
        </w:rPr>
        <w:t>, 159 U.S. 651, 653 (1895)</w:t>
      </w:r>
    </w:p>
    <w:p w:rsidR="00A30F0C" w:rsidRPr="0055642D" w:rsidRDefault="00A30F0C" w:rsidP="00775FE7">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0C" w:rsidRDefault="000E38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4445" o:spid="_x0000_s2050" type="#_x0000_t136" style="position:absolute;margin-left:0;margin-top:0;width:794.4pt;height:305.4pt;rotation:315;z-index:-251656192;mso-position-horizontal:center;mso-position-horizontal-relative:margin;mso-position-vertical:center;mso-position-vertical-relative:margin" o:allowincell="f" fillcolor="silver" stroked="f">
          <v:fill opacity=".5"/>
          <v:textpath style="font-family:&quot;Calibri&quot;;font-size:250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0C" w:rsidRDefault="000E38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4446" o:spid="_x0000_s2051" type="#_x0000_t136" style="position:absolute;margin-left:0;margin-top:0;width:794.4pt;height:305.4pt;rotation:315;z-index:-251655168;mso-position-horizontal:center;mso-position-horizontal-relative:margin;mso-position-vertical:center;mso-position-vertical-relative:margin" o:allowincell="f" fillcolor="silver" stroked="f">
          <v:fill opacity=".5"/>
          <v:textpath style="font-family:&quot;Calibri&quot;;font-size:250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0C" w:rsidRDefault="000E38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4444" o:spid="_x0000_s2049" type="#_x0000_t136" style="position:absolute;margin-left:0;margin-top:0;width:794.4pt;height:305.4pt;rotation:315;z-index:-251657216;mso-position-horizontal:center;mso-position-horizontal-relative:margin;mso-position-vertical:center;mso-position-vertical-relative:margin" o:allowincell="f" fillcolor="silver" stroked="f">
          <v:fill opacity=".5"/>
          <v:textpath style="font-family:&quot;Calibri&quot;;font-size:250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D9B"/>
    <w:multiLevelType w:val="hybridMultilevel"/>
    <w:tmpl w:val="4C7CC87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D6A45"/>
    <w:multiLevelType w:val="hybridMultilevel"/>
    <w:tmpl w:val="6C846204"/>
    <w:lvl w:ilvl="0" w:tplc="0409000F">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F13C9"/>
    <w:multiLevelType w:val="hybridMultilevel"/>
    <w:tmpl w:val="7D86E072"/>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D72E0"/>
    <w:multiLevelType w:val="hybridMultilevel"/>
    <w:tmpl w:val="638C4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FF1938"/>
    <w:multiLevelType w:val="hybridMultilevel"/>
    <w:tmpl w:val="78D4D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F0"/>
    <w:rsid w:val="000404C4"/>
    <w:rsid w:val="00043C39"/>
    <w:rsid w:val="000601DE"/>
    <w:rsid w:val="0006114E"/>
    <w:rsid w:val="00095BFC"/>
    <w:rsid w:val="000C2394"/>
    <w:rsid w:val="000E3849"/>
    <w:rsid w:val="000F0987"/>
    <w:rsid w:val="000F0C1C"/>
    <w:rsid w:val="00136C24"/>
    <w:rsid w:val="0016167B"/>
    <w:rsid w:val="001B33FC"/>
    <w:rsid w:val="001D5DC4"/>
    <w:rsid w:val="00205796"/>
    <w:rsid w:val="00225034"/>
    <w:rsid w:val="00230077"/>
    <w:rsid w:val="002652BF"/>
    <w:rsid w:val="0031452E"/>
    <w:rsid w:val="00340909"/>
    <w:rsid w:val="003465F4"/>
    <w:rsid w:val="003904FD"/>
    <w:rsid w:val="003A0F25"/>
    <w:rsid w:val="003B341B"/>
    <w:rsid w:val="00437013"/>
    <w:rsid w:val="0046449D"/>
    <w:rsid w:val="004F410D"/>
    <w:rsid w:val="00510C9C"/>
    <w:rsid w:val="00537F64"/>
    <w:rsid w:val="005469A2"/>
    <w:rsid w:val="00546D69"/>
    <w:rsid w:val="00595C65"/>
    <w:rsid w:val="005C5AA0"/>
    <w:rsid w:val="005D29C8"/>
    <w:rsid w:val="005E4EF0"/>
    <w:rsid w:val="005F53BE"/>
    <w:rsid w:val="005F68F8"/>
    <w:rsid w:val="00624D3C"/>
    <w:rsid w:val="00633195"/>
    <w:rsid w:val="006864C5"/>
    <w:rsid w:val="006B6287"/>
    <w:rsid w:val="006C155F"/>
    <w:rsid w:val="006F0024"/>
    <w:rsid w:val="006F6DFB"/>
    <w:rsid w:val="00716AD9"/>
    <w:rsid w:val="0073732A"/>
    <w:rsid w:val="007453E5"/>
    <w:rsid w:val="007616FA"/>
    <w:rsid w:val="00772435"/>
    <w:rsid w:val="00775FE7"/>
    <w:rsid w:val="007A28E5"/>
    <w:rsid w:val="007D4AA2"/>
    <w:rsid w:val="007E7DD9"/>
    <w:rsid w:val="00846392"/>
    <w:rsid w:val="00852F4E"/>
    <w:rsid w:val="00854AB6"/>
    <w:rsid w:val="008A2504"/>
    <w:rsid w:val="008A4F70"/>
    <w:rsid w:val="008C723F"/>
    <w:rsid w:val="00904415"/>
    <w:rsid w:val="00937FCD"/>
    <w:rsid w:val="00966624"/>
    <w:rsid w:val="00966D6A"/>
    <w:rsid w:val="00992F22"/>
    <w:rsid w:val="0099476C"/>
    <w:rsid w:val="009A3CD1"/>
    <w:rsid w:val="009C0AAA"/>
    <w:rsid w:val="009C2FEF"/>
    <w:rsid w:val="009E2615"/>
    <w:rsid w:val="00A02BF5"/>
    <w:rsid w:val="00A30F0C"/>
    <w:rsid w:val="00A55868"/>
    <w:rsid w:val="00A753CC"/>
    <w:rsid w:val="00AA6440"/>
    <w:rsid w:val="00AD1314"/>
    <w:rsid w:val="00AE0A7C"/>
    <w:rsid w:val="00AF32DD"/>
    <w:rsid w:val="00B03FAB"/>
    <w:rsid w:val="00B06A5B"/>
    <w:rsid w:val="00B12F89"/>
    <w:rsid w:val="00B15D7C"/>
    <w:rsid w:val="00B71A64"/>
    <w:rsid w:val="00B82A22"/>
    <w:rsid w:val="00BA2BE2"/>
    <w:rsid w:val="00BB60B7"/>
    <w:rsid w:val="00BC022E"/>
    <w:rsid w:val="00BC770B"/>
    <w:rsid w:val="00BD06EB"/>
    <w:rsid w:val="00C344AD"/>
    <w:rsid w:val="00C35A03"/>
    <w:rsid w:val="00C42501"/>
    <w:rsid w:val="00C5009E"/>
    <w:rsid w:val="00C77908"/>
    <w:rsid w:val="00CC2890"/>
    <w:rsid w:val="00D63B5F"/>
    <w:rsid w:val="00DA4C67"/>
    <w:rsid w:val="00DB3B05"/>
    <w:rsid w:val="00DB446E"/>
    <w:rsid w:val="00DF7EA0"/>
    <w:rsid w:val="00E038CF"/>
    <w:rsid w:val="00E1281D"/>
    <w:rsid w:val="00E733F5"/>
    <w:rsid w:val="00E83CCE"/>
    <w:rsid w:val="00EB45FB"/>
    <w:rsid w:val="00EC39ED"/>
    <w:rsid w:val="00EF7AB0"/>
    <w:rsid w:val="00F02528"/>
    <w:rsid w:val="00F541E3"/>
    <w:rsid w:val="00F7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F0"/>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uiPriority w:val="99"/>
    <w:unhideWhenUsed/>
    <w:rsid w:val="005E4EF0"/>
    <w:pPr>
      <w:spacing w:after="0" w:line="240" w:lineRule="auto"/>
    </w:pPr>
    <w:rPr>
      <w:sz w:val="20"/>
      <w:szCs w:val="20"/>
    </w:rPr>
  </w:style>
  <w:style w:type="character" w:customStyle="1" w:styleId="FootnoteTextChar">
    <w:name w:val="Footnote Text Char"/>
    <w:aliases w:val="Char Char Char"/>
    <w:basedOn w:val="DefaultParagraphFont"/>
    <w:link w:val="FootnoteText"/>
    <w:uiPriority w:val="99"/>
    <w:rsid w:val="005E4EF0"/>
    <w:rPr>
      <w:rFonts w:ascii="Calibri" w:eastAsia="Calibri" w:hAnsi="Calibri" w:cs="Times New Roman"/>
      <w:sz w:val="20"/>
      <w:szCs w:val="20"/>
      <w:lang w:val="en-GB"/>
    </w:rPr>
  </w:style>
  <w:style w:type="character" w:styleId="FootnoteReference">
    <w:name w:val="footnote reference"/>
    <w:basedOn w:val="DefaultParagraphFont"/>
    <w:unhideWhenUsed/>
    <w:rsid w:val="005E4EF0"/>
    <w:rPr>
      <w:vertAlign w:val="superscript"/>
    </w:rPr>
  </w:style>
  <w:style w:type="paragraph" w:styleId="NormalWeb">
    <w:name w:val="Normal (Web)"/>
    <w:basedOn w:val="Normal"/>
    <w:uiPriority w:val="99"/>
    <w:unhideWhenUsed/>
    <w:rsid w:val="005E4EF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5E4EF0"/>
    <w:rPr>
      <w:i/>
      <w:iCs/>
    </w:rPr>
  </w:style>
  <w:style w:type="paragraph" w:styleId="Header">
    <w:name w:val="header"/>
    <w:basedOn w:val="Normal"/>
    <w:link w:val="HeaderChar"/>
    <w:uiPriority w:val="99"/>
    <w:unhideWhenUsed/>
    <w:rsid w:val="005E4EF0"/>
    <w:pPr>
      <w:tabs>
        <w:tab w:val="center" w:pos="4680"/>
        <w:tab w:val="right" w:pos="9360"/>
      </w:tabs>
    </w:pPr>
  </w:style>
  <w:style w:type="character" w:customStyle="1" w:styleId="HeaderChar">
    <w:name w:val="Header Char"/>
    <w:basedOn w:val="DefaultParagraphFont"/>
    <w:link w:val="Header"/>
    <w:uiPriority w:val="99"/>
    <w:rsid w:val="005E4EF0"/>
    <w:rPr>
      <w:rFonts w:ascii="Calibri" w:eastAsia="Calibri" w:hAnsi="Calibri" w:cs="Times New Roman"/>
      <w:lang w:val="en-GB"/>
    </w:rPr>
  </w:style>
  <w:style w:type="paragraph" w:styleId="Footer">
    <w:name w:val="footer"/>
    <w:basedOn w:val="Normal"/>
    <w:link w:val="FooterChar"/>
    <w:uiPriority w:val="99"/>
    <w:unhideWhenUsed/>
    <w:rsid w:val="005E4EF0"/>
    <w:pPr>
      <w:tabs>
        <w:tab w:val="center" w:pos="4680"/>
        <w:tab w:val="right" w:pos="9360"/>
      </w:tabs>
    </w:pPr>
  </w:style>
  <w:style w:type="character" w:customStyle="1" w:styleId="FooterChar">
    <w:name w:val="Footer Char"/>
    <w:basedOn w:val="DefaultParagraphFont"/>
    <w:link w:val="Footer"/>
    <w:uiPriority w:val="99"/>
    <w:rsid w:val="005E4EF0"/>
    <w:rPr>
      <w:rFonts w:ascii="Calibri" w:eastAsia="Calibri" w:hAnsi="Calibri" w:cs="Times New Roman"/>
      <w:lang w:val="en-GB"/>
    </w:rPr>
  </w:style>
  <w:style w:type="character" w:styleId="Strong">
    <w:name w:val="Strong"/>
    <w:basedOn w:val="DefaultParagraphFont"/>
    <w:uiPriority w:val="22"/>
    <w:qFormat/>
    <w:rsid w:val="005E4EF0"/>
    <w:rPr>
      <w:b/>
      <w:bCs/>
    </w:rPr>
  </w:style>
  <w:style w:type="character" w:customStyle="1" w:styleId="apple-converted-space">
    <w:name w:val="apple-converted-space"/>
    <w:basedOn w:val="DefaultParagraphFont"/>
    <w:rsid w:val="005E4EF0"/>
  </w:style>
  <w:style w:type="paragraph" w:styleId="ListParagraph">
    <w:name w:val="List Paragraph"/>
    <w:basedOn w:val="Normal"/>
    <w:uiPriority w:val="34"/>
    <w:qFormat/>
    <w:rsid w:val="00D63B5F"/>
    <w:pPr>
      <w:ind w:left="720"/>
      <w:contextualSpacing/>
    </w:pPr>
  </w:style>
  <w:style w:type="character" w:styleId="Hyperlink">
    <w:name w:val="Hyperlink"/>
    <w:basedOn w:val="DefaultParagraphFont"/>
    <w:uiPriority w:val="99"/>
    <w:semiHidden/>
    <w:unhideWhenUsed/>
    <w:rsid w:val="00775FE7"/>
    <w:rPr>
      <w:color w:val="0000FF"/>
      <w:u w:val="single"/>
    </w:rPr>
  </w:style>
  <w:style w:type="paragraph" w:styleId="BalloonText">
    <w:name w:val="Balloon Text"/>
    <w:basedOn w:val="Normal"/>
    <w:link w:val="BalloonTextChar"/>
    <w:uiPriority w:val="99"/>
    <w:semiHidden/>
    <w:unhideWhenUsed/>
    <w:rsid w:val="0096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D6A"/>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F0"/>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uiPriority w:val="99"/>
    <w:unhideWhenUsed/>
    <w:rsid w:val="005E4EF0"/>
    <w:pPr>
      <w:spacing w:after="0" w:line="240" w:lineRule="auto"/>
    </w:pPr>
    <w:rPr>
      <w:sz w:val="20"/>
      <w:szCs w:val="20"/>
    </w:rPr>
  </w:style>
  <w:style w:type="character" w:customStyle="1" w:styleId="FootnoteTextChar">
    <w:name w:val="Footnote Text Char"/>
    <w:aliases w:val="Char Char Char"/>
    <w:basedOn w:val="DefaultParagraphFont"/>
    <w:link w:val="FootnoteText"/>
    <w:uiPriority w:val="99"/>
    <w:rsid w:val="005E4EF0"/>
    <w:rPr>
      <w:rFonts w:ascii="Calibri" w:eastAsia="Calibri" w:hAnsi="Calibri" w:cs="Times New Roman"/>
      <w:sz w:val="20"/>
      <w:szCs w:val="20"/>
      <w:lang w:val="en-GB"/>
    </w:rPr>
  </w:style>
  <w:style w:type="character" w:styleId="FootnoteReference">
    <w:name w:val="footnote reference"/>
    <w:basedOn w:val="DefaultParagraphFont"/>
    <w:unhideWhenUsed/>
    <w:rsid w:val="005E4EF0"/>
    <w:rPr>
      <w:vertAlign w:val="superscript"/>
    </w:rPr>
  </w:style>
  <w:style w:type="paragraph" w:styleId="NormalWeb">
    <w:name w:val="Normal (Web)"/>
    <w:basedOn w:val="Normal"/>
    <w:uiPriority w:val="99"/>
    <w:unhideWhenUsed/>
    <w:rsid w:val="005E4EF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5E4EF0"/>
    <w:rPr>
      <w:i/>
      <w:iCs/>
    </w:rPr>
  </w:style>
  <w:style w:type="paragraph" w:styleId="Header">
    <w:name w:val="header"/>
    <w:basedOn w:val="Normal"/>
    <w:link w:val="HeaderChar"/>
    <w:uiPriority w:val="99"/>
    <w:unhideWhenUsed/>
    <w:rsid w:val="005E4EF0"/>
    <w:pPr>
      <w:tabs>
        <w:tab w:val="center" w:pos="4680"/>
        <w:tab w:val="right" w:pos="9360"/>
      </w:tabs>
    </w:pPr>
  </w:style>
  <w:style w:type="character" w:customStyle="1" w:styleId="HeaderChar">
    <w:name w:val="Header Char"/>
    <w:basedOn w:val="DefaultParagraphFont"/>
    <w:link w:val="Header"/>
    <w:uiPriority w:val="99"/>
    <w:rsid w:val="005E4EF0"/>
    <w:rPr>
      <w:rFonts w:ascii="Calibri" w:eastAsia="Calibri" w:hAnsi="Calibri" w:cs="Times New Roman"/>
      <w:lang w:val="en-GB"/>
    </w:rPr>
  </w:style>
  <w:style w:type="paragraph" w:styleId="Footer">
    <w:name w:val="footer"/>
    <w:basedOn w:val="Normal"/>
    <w:link w:val="FooterChar"/>
    <w:uiPriority w:val="99"/>
    <w:unhideWhenUsed/>
    <w:rsid w:val="005E4EF0"/>
    <w:pPr>
      <w:tabs>
        <w:tab w:val="center" w:pos="4680"/>
        <w:tab w:val="right" w:pos="9360"/>
      </w:tabs>
    </w:pPr>
  </w:style>
  <w:style w:type="character" w:customStyle="1" w:styleId="FooterChar">
    <w:name w:val="Footer Char"/>
    <w:basedOn w:val="DefaultParagraphFont"/>
    <w:link w:val="Footer"/>
    <w:uiPriority w:val="99"/>
    <w:rsid w:val="005E4EF0"/>
    <w:rPr>
      <w:rFonts w:ascii="Calibri" w:eastAsia="Calibri" w:hAnsi="Calibri" w:cs="Times New Roman"/>
      <w:lang w:val="en-GB"/>
    </w:rPr>
  </w:style>
  <w:style w:type="character" w:styleId="Strong">
    <w:name w:val="Strong"/>
    <w:basedOn w:val="DefaultParagraphFont"/>
    <w:uiPriority w:val="22"/>
    <w:qFormat/>
    <w:rsid w:val="005E4EF0"/>
    <w:rPr>
      <w:b/>
      <w:bCs/>
    </w:rPr>
  </w:style>
  <w:style w:type="character" w:customStyle="1" w:styleId="apple-converted-space">
    <w:name w:val="apple-converted-space"/>
    <w:basedOn w:val="DefaultParagraphFont"/>
    <w:rsid w:val="005E4EF0"/>
  </w:style>
  <w:style w:type="paragraph" w:styleId="ListParagraph">
    <w:name w:val="List Paragraph"/>
    <w:basedOn w:val="Normal"/>
    <w:uiPriority w:val="34"/>
    <w:qFormat/>
    <w:rsid w:val="00D63B5F"/>
    <w:pPr>
      <w:ind w:left="720"/>
      <w:contextualSpacing/>
    </w:pPr>
  </w:style>
  <w:style w:type="character" w:styleId="Hyperlink">
    <w:name w:val="Hyperlink"/>
    <w:basedOn w:val="DefaultParagraphFont"/>
    <w:uiPriority w:val="99"/>
    <w:semiHidden/>
    <w:unhideWhenUsed/>
    <w:rsid w:val="00775FE7"/>
    <w:rPr>
      <w:color w:val="0000FF"/>
      <w:u w:val="single"/>
    </w:rPr>
  </w:style>
  <w:style w:type="paragraph" w:styleId="BalloonText">
    <w:name w:val="Balloon Text"/>
    <w:basedOn w:val="Normal"/>
    <w:link w:val="BalloonTextChar"/>
    <w:uiPriority w:val="99"/>
    <w:semiHidden/>
    <w:unhideWhenUsed/>
    <w:rsid w:val="0096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D6A"/>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82244">
      <w:bodyDiv w:val="1"/>
      <w:marLeft w:val="0"/>
      <w:marRight w:val="0"/>
      <w:marTop w:val="0"/>
      <w:marBottom w:val="0"/>
      <w:divBdr>
        <w:top w:val="none" w:sz="0" w:space="0" w:color="auto"/>
        <w:left w:val="none" w:sz="0" w:space="0" w:color="auto"/>
        <w:bottom w:val="none" w:sz="0" w:space="0" w:color="auto"/>
        <w:right w:val="none" w:sz="0" w:space="0" w:color="auto"/>
      </w:divBdr>
      <w:divsChild>
        <w:div w:id="13429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637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76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upreme.justia.com/us/555/07-512/index.html" TargetMode="External"/><Relationship Id="rId13" Type="http://schemas.openxmlformats.org/officeDocument/2006/relationships/hyperlink" Target="http://www.jureeka.net/Jureeka/US.aspx?doc=U.S.&amp;vol=482&amp;page=369&amp;pinpoint=undefined&amp;bUrl=http://federalpracticemanual.org/node/21/edit" TargetMode="External"/><Relationship Id="rId18" Type="http://schemas.openxmlformats.org/officeDocument/2006/relationships/hyperlink" Target="http://www.jureeka.net/Jureeka/US.aspx?doc=F3d&amp;vol=235&amp;page=1049&amp;bUrl=http://federalpracticemanual.org/node/21/edit" TargetMode="External"/><Relationship Id="rId3" Type="http://schemas.openxmlformats.org/officeDocument/2006/relationships/hyperlink" Target="http://www.google.com/url?q=http%3A%2F%2Fwww.law.cornell.edu%2Fsupct%2Fhtml%2F91-946.ZO.html&amp;sa=D&amp;sntz=1&amp;usg=AFrqEzdmsYryGng_66_VpzbBvCQdrrrnlg" TargetMode="External"/><Relationship Id="rId7" Type="http://schemas.openxmlformats.org/officeDocument/2006/relationships/hyperlink" Target="http://www.google.com/url?q=http%3A%2F%2Fwww.law.cornell.edu%2Fsupct%2Fhtml%2F03-1488.ZO.html&amp;sa=D&amp;sntz=1&amp;usg=AFrqEzelTdwMS7xMTvrJ6CMfaJJKlTkY6w" TargetMode="External"/><Relationship Id="rId12" Type="http://schemas.openxmlformats.org/officeDocument/2006/relationships/hyperlink" Target="http://www.google.com/url?q=http%3A%2F%2Fcaselaw.lp.findlaw.com%2Fscripts%2Fgetcase.pl%3Fnavby%3Dcase%26court%3Dus%26vol%3D482%26page%3D369&amp;sa=D&amp;sntz=1&amp;usg=AFrqEzdZnNdiWiYotLCHeFOd4HUinjWdNw" TargetMode="External"/><Relationship Id="rId17" Type="http://schemas.openxmlformats.org/officeDocument/2006/relationships/hyperlink" Target="http://scholar.google.com/scholar_case?case=2912902862865521693&amp;q=235+F.3d+1049&amp;hl=en&amp;as_sdt=400003" TargetMode="External"/><Relationship Id="rId2" Type="http://schemas.openxmlformats.org/officeDocument/2006/relationships/hyperlink" Target="http://scholar.google.com/scholar_case?q=132+S.+Ct.+2277&amp;hl=en&amp;as_sdt=6,43&amp;case=11942047881597926307&amp;scilh=0" TargetMode="External"/><Relationship Id="rId16" Type="http://schemas.openxmlformats.org/officeDocument/2006/relationships/hyperlink" Target="http://www.jureeka.net/Jureeka/US.aspx?doc=U.S.&amp;vol=488&amp;page=469&amp;pinpoint=undefined&amp;bUrl=http://federalpracticemanual.org/node/21/edit" TargetMode="External"/><Relationship Id="rId20" Type="http://schemas.openxmlformats.org/officeDocument/2006/relationships/hyperlink" Target="http://www.jureeka.net/Jureeka/US.aspx?doc=F3d&amp;vol=220&amp;page=10&amp;bUrl=http://federalpracticemanual.org/node/21/edit" TargetMode="External"/><Relationship Id="rId1" Type="http://schemas.openxmlformats.org/officeDocument/2006/relationships/hyperlink" Target="http://scholar.google.com/scholar_case?q=133+S.+Ct.+1017+&amp;hl=en&amp;as_sdt=6,43&amp;case=5648002674999133955&amp;scilh=0" TargetMode="External"/><Relationship Id="rId6" Type="http://schemas.openxmlformats.org/officeDocument/2006/relationships/hyperlink" Target="http://www.jureeka.net/Jureeka/US.aspx?doc=U.S.&amp;vol=467&amp;page=561&amp;pinpoint=undefined&amp;bUrl=http://federalpracticemanual.org/node/21/edit" TargetMode="External"/><Relationship Id="rId11" Type="http://schemas.openxmlformats.org/officeDocument/2006/relationships/hyperlink" Target="http://www.jureeka.net/Jureeka/US.aspx?doc=F3d&amp;vol=415&amp;page=994&amp;bUrl=http://federalpracticemanual.org/node/21/edit" TargetMode="External"/><Relationship Id="rId5" Type="http://schemas.openxmlformats.org/officeDocument/2006/relationships/hyperlink" Target="http://www.google.com/url?q=http%3A%2F%2Fcaselaw.lp.findlaw.com%2Fscripts%2Fgetcase.pl%3Fnavby%3Dcase%26court%3Dus%26vol%3D467%26page%3D561&amp;sa=D&amp;sntz=1&amp;usg=AFrqEzebFhzpJw0J4S59d_OJWR0Y4ADaXQ" TargetMode="External"/><Relationship Id="rId15" Type="http://schemas.openxmlformats.org/officeDocument/2006/relationships/hyperlink" Target="http://www.google.com/url?q=http%3A%2F%2Fcaselaw.lp.findlaw.com%2Fscripts%2Fgetcase.pl%3Fnavby%3Dcase%26court%3Dus%26vol%3D488%26page%3D469&amp;sa=D&amp;sntz=1&amp;usg=AFrqEzfQXP-xC7MY7mhOv2p1lhDKiheVFg" TargetMode="External"/><Relationship Id="rId10" Type="http://schemas.openxmlformats.org/officeDocument/2006/relationships/hyperlink" Target="http://scholar.google.com/scholar_case?case=13490652801832159461&amp;q=415+F.3d+994&amp;hl=en&amp;as_sdt=400003" TargetMode="External"/><Relationship Id="rId19" Type="http://schemas.openxmlformats.org/officeDocument/2006/relationships/hyperlink" Target="http://scholar.google.com/scholar_case?case=2855662506332140354&amp;q=220+F.3d+10&amp;hl=en&amp;as_sdt=400003" TargetMode="External"/><Relationship Id="rId4" Type="http://schemas.openxmlformats.org/officeDocument/2006/relationships/hyperlink" Target="http://www.jureeka.net/Jureeka/US.aspx?doc=U.S.&amp;vol=506&amp;page=9&amp;pinpoint=undefined&amp;bUrl=http://federalpracticemanual.org/node/21/edit" TargetMode="External"/><Relationship Id="rId9" Type="http://schemas.openxmlformats.org/officeDocument/2006/relationships/hyperlink" Target="http://www.law.cornell.edu/jureeka/index.php?doc=U.S.&amp;vol=555&amp;page=438&amp;pinpoint=446&amp;year=2009" TargetMode="External"/><Relationship Id="rId14" Type="http://schemas.openxmlformats.org/officeDocument/2006/relationships/hyperlink" Target="http://www.google.com/url?q=http%3A%2F%2Fwww.law.cornell.edu%2Fconstitution%2Fconstitution.amendmentxiv.html&amp;sa=D&amp;sntz=1&amp;usg=AFrqEzd8PWyPHUzqRxVh8t-tqu1QQfS-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89677-8DC8-487C-8C24-E485698E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Ogada</cp:lastModifiedBy>
  <cp:revision>2</cp:revision>
  <dcterms:created xsi:type="dcterms:W3CDTF">2019-11-25T09:13:00Z</dcterms:created>
  <dcterms:modified xsi:type="dcterms:W3CDTF">2019-11-25T09:13:00Z</dcterms:modified>
</cp:coreProperties>
</file>